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68011" w14:textId="77777777" w:rsidR="008D5110" w:rsidRPr="00D37104" w:rsidRDefault="00AF4293">
      <w:pPr>
        <w:tabs>
          <w:tab w:val="left" w:pos="1185"/>
        </w:tabs>
        <w:spacing w:line="360" w:lineRule="auto"/>
        <w:rPr>
          <w:b/>
          <w:sz w:val="32"/>
          <w:szCs w:val="20"/>
          <w:lang w:val="es-ES"/>
        </w:rPr>
      </w:pPr>
      <w:proofErr w:type="spellStart"/>
      <w:r>
        <w:rPr>
          <w:b/>
          <w:sz w:val="32"/>
          <w:szCs w:val="20"/>
          <w:lang w:val="es-ES"/>
        </w:rPr>
        <w:t>Doka</w:t>
      </w:r>
      <w:proofErr w:type="spellEnd"/>
      <w:r>
        <w:rPr>
          <w:b/>
          <w:sz w:val="32"/>
          <w:szCs w:val="20"/>
          <w:lang w:val="es-ES"/>
        </w:rPr>
        <w:t xml:space="preserve"> presenta soluciones de andamiaje en </w:t>
      </w:r>
      <w:proofErr w:type="spellStart"/>
      <w:r>
        <w:rPr>
          <w:b/>
          <w:sz w:val="32"/>
          <w:szCs w:val="20"/>
          <w:lang w:val="es-ES"/>
        </w:rPr>
        <w:t>bauma</w:t>
      </w:r>
      <w:proofErr w:type="spellEnd"/>
      <w:r>
        <w:rPr>
          <w:b/>
          <w:sz w:val="32"/>
          <w:szCs w:val="20"/>
          <w:lang w:val="es-ES"/>
        </w:rPr>
        <w:t xml:space="preserve"> 2022</w:t>
      </w:r>
    </w:p>
    <w:p w14:paraId="61DBEC88" w14:textId="77777777" w:rsidR="008D5110" w:rsidRPr="00D37104" w:rsidRDefault="00AF4293">
      <w:pPr>
        <w:tabs>
          <w:tab w:val="left" w:pos="1185"/>
        </w:tabs>
        <w:spacing w:line="360" w:lineRule="auto"/>
        <w:rPr>
          <w:b/>
          <w:i/>
          <w:iCs/>
          <w:sz w:val="24"/>
          <w:lang w:val="es-ES"/>
        </w:rPr>
      </w:pPr>
      <w:r>
        <w:rPr>
          <w:b/>
          <w:i/>
          <w:iCs/>
          <w:sz w:val="24"/>
          <w:lang w:val="es-ES"/>
        </w:rPr>
        <w:t>La nueva oferta complementa los múltiples desarrollos de la cartera de encofrados</w:t>
      </w:r>
    </w:p>
    <w:p w14:paraId="4D0E0DE0" w14:textId="77777777" w:rsidR="008D5110" w:rsidRPr="00D37104" w:rsidRDefault="008D5110">
      <w:pPr>
        <w:tabs>
          <w:tab w:val="left" w:pos="1185"/>
        </w:tabs>
        <w:spacing w:line="276" w:lineRule="auto"/>
        <w:rPr>
          <w:b/>
          <w:color w:val="auto"/>
          <w:sz w:val="20"/>
          <w:szCs w:val="22"/>
          <w:lang w:val="es-ES"/>
        </w:rPr>
      </w:pPr>
      <w:bookmarkStart w:id="0" w:name="_GoBack"/>
      <w:bookmarkEnd w:id="0"/>
    </w:p>
    <w:p w14:paraId="2F371681" w14:textId="77777777" w:rsidR="008D5110" w:rsidRPr="00D37104" w:rsidRDefault="00AF4293">
      <w:pPr>
        <w:spacing w:line="264" w:lineRule="auto"/>
        <w:jc w:val="both"/>
        <w:rPr>
          <w:b/>
          <w:sz w:val="20"/>
          <w:lang w:val="es-ES"/>
        </w:rPr>
      </w:pPr>
      <w:proofErr w:type="spellStart"/>
      <w:r>
        <w:rPr>
          <w:b/>
          <w:sz w:val="20"/>
          <w:lang w:val="es-ES"/>
        </w:rPr>
        <w:t>Doka</w:t>
      </w:r>
      <w:proofErr w:type="spellEnd"/>
      <w:r>
        <w:rPr>
          <w:b/>
          <w:sz w:val="20"/>
          <w:lang w:val="es-ES"/>
        </w:rPr>
        <w:t xml:space="preserve"> presentará su nuevo negocio de andamios en </w:t>
      </w:r>
      <w:proofErr w:type="spellStart"/>
      <w:r>
        <w:rPr>
          <w:b/>
          <w:sz w:val="20"/>
          <w:lang w:val="es-ES"/>
        </w:rPr>
        <w:t>bauma</w:t>
      </w:r>
      <w:proofErr w:type="spellEnd"/>
      <w:r>
        <w:rPr>
          <w:b/>
          <w:sz w:val="20"/>
          <w:lang w:val="es-ES"/>
        </w:rPr>
        <w:t xml:space="preserve"> 2022, la feria de construcción más grande del mundo, que abrirá sus puertas del 24 a 30 de octubre. </w:t>
      </w:r>
      <w:proofErr w:type="spellStart"/>
      <w:r>
        <w:rPr>
          <w:b/>
          <w:sz w:val="20"/>
          <w:lang w:val="es-ES"/>
        </w:rPr>
        <w:t>Doka</w:t>
      </w:r>
      <w:proofErr w:type="spellEnd"/>
      <w:r>
        <w:rPr>
          <w:b/>
          <w:sz w:val="20"/>
          <w:lang w:val="es-ES"/>
        </w:rPr>
        <w:t xml:space="preserve">, demostrando su compromiso de «crear un verdadero valor añadido para nuestros clientes», muestra sus impresionantes nuevas opciones de andamiaje junto con los avances en su cartera de encofrados, y numerosos aspectos destacados de los campos de la digitalización y la sostenibilidad. El creciente catálogo de productos y servicios se podrá ver en la exposición de </w:t>
      </w:r>
      <w:proofErr w:type="spellStart"/>
      <w:r>
        <w:rPr>
          <w:b/>
          <w:sz w:val="20"/>
          <w:lang w:val="es-ES"/>
        </w:rPr>
        <w:t>Doka</w:t>
      </w:r>
      <w:proofErr w:type="spellEnd"/>
      <w:r>
        <w:rPr>
          <w:b/>
          <w:sz w:val="20"/>
          <w:lang w:val="es-ES"/>
        </w:rPr>
        <w:t xml:space="preserve"> (FN.421 - FN.423), que ocupa casi 4500 metros cuadrados.</w:t>
      </w:r>
    </w:p>
    <w:p w14:paraId="6F671B51" w14:textId="77777777" w:rsidR="008D5110" w:rsidRPr="00D37104" w:rsidRDefault="008D5110">
      <w:pPr>
        <w:spacing w:line="264" w:lineRule="auto"/>
        <w:jc w:val="both"/>
        <w:rPr>
          <w:b/>
          <w:sz w:val="20"/>
          <w:lang w:val="es-ES"/>
        </w:rPr>
      </w:pPr>
    </w:p>
    <w:p w14:paraId="618FE510" w14:textId="77777777" w:rsidR="008D5110" w:rsidRPr="00D37104" w:rsidRDefault="00AF4293">
      <w:pPr>
        <w:spacing w:line="264" w:lineRule="auto"/>
        <w:jc w:val="both"/>
        <w:rPr>
          <w:sz w:val="20"/>
          <w:lang w:val="es-ES"/>
        </w:rPr>
      </w:pPr>
      <w:r>
        <w:rPr>
          <w:sz w:val="20"/>
          <w:lang w:val="es-ES"/>
        </w:rPr>
        <w:t xml:space="preserve">En los círculos profesionales, la proposición de valor de </w:t>
      </w:r>
      <w:proofErr w:type="spellStart"/>
      <w:r>
        <w:rPr>
          <w:sz w:val="20"/>
          <w:lang w:val="es-ES"/>
        </w:rPr>
        <w:t>Doka</w:t>
      </w:r>
      <w:proofErr w:type="spellEnd"/>
      <w:r>
        <w:rPr>
          <w:sz w:val="20"/>
          <w:lang w:val="es-ES"/>
        </w:rPr>
        <w:t xml:space="preserve"> (crear un valor añadido real para nuestros clientes) se impone como ninguna otra, y su reputación como socio fuerte y fiable de la industria de la construcción es inquebrantable. «El diálogo con los clientes, los socios y todos los visitantes interesados es crucial para nosotros. En </w:t>
      </w:r>
      <w:proofErr w:type="spellStart"/>
      <w:r>
        <w:rPr>
          <w:sz w:val="20"/>
          <w:lang w:val="es-ES"/>
        </w:rPr>
        <w:t>bauma</w:t>
      </w:r>
      <w:proofErr w:type="spellEnd"/>
      <w:r>
        <w:rPr>
          <w:sz w:val="20"/>
          <w:lang w:val="es-ES"/>
        </w:rPr>
        <w:t xml:space="preserve">, el pulso de la industria es palpable, y yo mismo estoy deseando experimentarlo en particular», dice Robert </w:t>
      </w:r>
      <w:proofErr w:type="spellStart"/>
      <w:r>
        <w:rPr>
          <w:sz w:val="20"/>
          <w:lang w:val="es-ES"/>
        </w:rPr>
        <w:t>Hauser</w:t>
      </w:r>
      <w:proofErr w:type="spellEnd"/>
      <w:r>
        <w:rPr>
          <w:sz w:val="20"/>
          <w:lang w:val="es-ES"/>
        </w:rPr>
        <w:t xml:space="preserve">, director general de </w:t>
      </w:r>
      <w:proofErr w:type="spellStart"/>
      <w:r>
        <w:rPr>
          <w:sz w:val="20"/>
          <w:lang w:val="es-ES"/>
        </w:rPr>
        <w:t>Doka</w:t>
      </w:r>
      <w:proofErr w:type="spellEnd"/>
      <w:r>
        <w:rPr>
          <w:sz w:val="20"/>
          <w:lang w:val="es-ES"/>
        </w:rPr>
        <w:t xml:space="preserve">. «En </w:t>
      </w:r>
      <w:proofErr w:type="spellStart"/>
      <w:r>
        <w:rPr>
          <w:sz w:val="20"/>
          <w:lang w:val="es-ES"/>
        </w:rPr>
        <w:t>bauma</w:t>
      </w:r>
      <w:proofErr w:type="spellEnd"/>
      <w:r>
        <w:rPr>
          <w:sz w:val="20"/>
          <w:lang w:val="es-ES"/>
        </w:rPr>
        <w:t xml:space="preserve"> 2022 nos presentaremos, por primera vez, como parte del Grupo </w:t>
      </w:r>
      <w:proofErr w:type="spellStart"/>
      <w:r>
        <w:rPr>
          <w:sz w:val="20"/>
          <w:lang w:val="es-ES"/>
        </w:rPr>
        <w:t>Umdasch</w:t>
      </w:r>
      <w:proofErr w:type="spellEnd"/>
      <w:r>
        <w:rPr>
          <w:sz w:val="20"/>
          <w:lang w:val="es-ES"/>
        </w:rPr>
        <w:t xml:space="preserve">. Esto posiciona a la empresa como un socio fuerte en todo el ciclo de vida de la construcción, y crea una plataforma única que ofrece valiosas sinergias a los participantes». </w:t>
      </w:r>
    </w:p>
    <w:p w14:paraId="685393B7" w14:textId="77777777" w:rsidR="008D5110" w:rsidRPr="00D37104" w:rsidRDefault="008D5110">
      <w:pPr>
        <w:spacing w:line="264" w:lineRule="auto"/>
        <w:jc w:val="both"/>
        <w:rPr>
          <w:sz w:val="20"/>
          <w:lang w:val="es-ES"/>
        </w:rPr>
      </w:pPr>
    </w:p>
    <w:p w14:paraId="6956CBD0" w14:textId="77777777" w:rsidR="008D5110" w:rsidRPr="00D37104" w:rsidRDefault="00AF4293">
      <w:pPr>
        <w:spacing w:line="264" w:lineRule="auto"/>
        <w:jc w:val="both"/>
        <w:rPr>
          <w:sz w:val="20"/>
          <w:lang w:val="es-ES"/>
        </w:rPr>
      </w:pPr>
      <w:r>
        <w:rPr>
          <w:sz w:val="20"/>
          <w:lang w:val="es-ES"/>
        </w:rPr>
        <w:t xml:space="preserve">Bajo el lema «DOKA CONTECTA», el grupo empresarial ofrece a los asistentes la oportunidad conocer más sobre sus productos, innovaciones y tendencias. Los visitantes podrán presenciar una muestra que presenta 45 exposiciones, una amplia gama de actividades y un total de 110 espectáculos en vivo que dan vida al tema «DOKA CONTECTA». Los visitantes también tendrán la oportunidad de hablar con el equipo de recursos humanos para informarse sobre oportunidades profesionales. </w:t>
      </w:r>
    </w:p>
    <w:p w14:paraId="41D5DFD3" w14:textId="77777777" w:rsidR="008D5110" w:rsidRPr="00D37104" w:rsidRDefault="008D5110">
      <w:pPr>
        <w:spacing w:line="264" w:lineRule="auto"/>
        <w:jc w:val="both"/>
        <w:rPr>
          <w:lang w:val="es-ES"/>
        </w:rPr>
      </w:pPr>
    </w:p>
    <w:p w14:paraId="44F885C2" w14:textId="77777777" w:rsidR="008D5110" w:rsidRPr="00D37104" w:rsidRDefault="00AF4293">
      <w:pPr>
        <w:spacing w:line="264" w:lineRule="auto"/>
        <w:jc w:val="both"/>
        <w:rPr>
          <w:b/>
          <w:sz w:val="20"/>
          <w:szCs w:val="22"/>
          <w:lang w:val="es-ES"/>
        </w:rPr>
      </w:pPr>
      <w:r>
        <w:rPr>
          <w:b/>
          <w:sz w:val="20"/>
          <w:szCs w:val="22"/>
          <w:lang w:val="es-ES"/>
        </w:rPr>
        <w:t>Soluciones de andamiaje a nuevas alturas</w:t>
      </w:r>
    </w:p>
    <w:p w14:paraId="0D3030BB" w14:textId="77777777" w:rsidR="008D5110" w:rsidRPr="00D37104" w:rsidRDefault="00AF4293">
      <w:pPr>
        <w:spacing w:line="264" w:lineRule="auto"/>
        <w:jc w:val="both"/>
        <w:rPr>
          <w:sz w:val="20"/>
          <w:szCs w:val="22"/>
          <w:lang w:val="es-ES"/>
        </w:rPr>
      </w:pPr>
      <w:r>
        <w:rPr>
          <w:sz w:val="20"/>
          <w:szCs w:val="22"/>
          <w:lang w:val="es-ES"/>
        </w:rPr>
        <w:t xml:space="preserve">En </w:t>
      </w:r>
      <w:proofErr w:type="spellStart"/>
      <w:r>
        <w:rPr>
          <w:sz w:val="20"/>
          <w:szCs w:val="22"/>
          <w:lang w:val="es-ES"/>
        </w:rPr>
        <w:t>bauma</w:t>
      </w:r>
      <w:proofErr w:type="spellEnd"/>
      <w:r>
        <w:rPr>
          <w:sz w:val="20"/>
          <w:szCs w:val="22"/>
          <w:lang w:val="es-ES"/>
        </w:rPr>
        <w:t xml:space="preserve">, </w:t>
      </w:r>
      <w:proofErr w:type="spellStart"/>
      <w:r>
        <w:rPr>
          <w:sz w:val="20"/>
          <w:szCs w:val="22"/>
          <w:lang w:val="es-ES"/>
        </w:rPr>
        <w:t>Doka</w:t>
      </w:r>
      <w:proofErr w:type="spellEnd"/>
      <w:r>
        <w:rPr>
          <w:sz w:val="20"/>
          <w:szCs w:val="22"/>
          <w:lang w:val="es-ES"/>
        </w:rPr>
        <w:t xml:space="preserve"> presentará el andamio </w:t>
      </w:r>
      <w:proofErr w:type="spellStart"/>
      <w:r>
        <w:rPr>
          <w:sz w:val="20"/>
          <w:szCs w:val="22"/>
          <w:lang w:val="es-ES"/>
        </w:rPr>
        <w:t>Ringlock</w:t>
      </w:r>
      <w:proofErr w:type="spellEnd"/>
      <w:r>
        <w:rPr>
          <w:sz w:val="20"/>
          <w:szCs w:val="22"/>
          <w:lang w:val="es-ES"/>
        </w:rPr>
        <w:t xml:space="preserve">, con certificación </w:t>
      </w:r>
      <w:proofErr w:type="spellStart"/>
      <w:r>
        <w:rPr>
          <w:sz w:val="20"/>
          <w:szCs w:val="22"/>
          <w:lang w:val="es-ES"/>
        </w:rPr>
        <w:t>DIBt</w:t>
      </w:r>
      <w:proofErr w:type="spellEnd"/>
      <w:r>
        <w:rPr>
          <w:sz w:val="20"/>
          <w:szCs w:val="22"/>
          <w:lang w:val="es-ES"/>
        </w:rPr>
        <w:t xml:space="preserve">, bajo la marca AT-PAC. La asociación estratégica con AT-PAC, líder del mercado de los andamios industriales, está en marcha desde 2020. Esto ha dado como resultado una fuerte presencia global que actualmente se está expandiendo a medida que </w:t>
      </w:r>
      <w:proofErr w:type="spellStart"/>
      <w:r>
        <w:rPr>
          <w:sz w:val="20"/>
          <w:szCs w:val="22"/>
          <w:lang w:val="es-ES"/>
        </w:rPr>
        <w:t>Doka</w:t>
      </w:r>
      <w:proofErr w:type="spellEnd"/>
      <w:r>
        <w:rPr>
          <w:sz w:val="20"/>
          <w:szCs w:val="22"/>
          <w:lang w:val="es-ES"/>
        </w:rPr>
        <w:t xml:space="preserve"> consolida su huella internacional y avanza en su visión de ofrecer a los clientes soluciones holísticas en todo el mundo. La presencia física de una torre de andamios de casi 30 metros de altura refleja el éxito de la relación y dará la bienvenida a los visitantes desde lejos. Para demostrar la progresión estratégica, </w:t>
      </w:r>
      <w:proofErr w:type="spellStart"/>
      <w:r>
        <w:rPr>
          <w:sz w:val="20"/>
          <w:szCs w:val="22"/>
          <w:lang w:val="es-ES"/>
        </w:rPr>
        <w:t>Doka</w:t>
      </w:r>
      <w:proofErr w:type="spellEnd"/>
      <w:r>
        <w:rPr>
          <w:sz w:val="20"/>
          <w:szCs w:val="22"/>
          <w:lang w:val="es-ES"/>
        </w:rPr>
        <w:t xml:space="preserve"> mostrará también aplicaciones para clientes industriales, como la industria del petróleo y el gas, así como para el sector de la construcción. La combinación de la cartera de encofrados, el software de gestión de andamios Hi-Vis® y otros servicios adicionales posicionan a </w:t>
      </w:r>
      <w:proofErr w:type="spellStart"/>
      <w:r>
        <w:rPr>
          <w:sz w:val="20"/>
          <w:szCs w:val="22"/>
          <w:lang w:val="es-ES"/>
        </w:rPr>
        <w:t>Doka</w:t>
      </w:r>
      <w:proofErr w:type="spellEnd"/>
      <w:r>
        <w:rPr>
          <w:sz w:val="20"/>
          <w:szCs w:val="22"/>
          <w:lang w:val="es-ES"/>
        </w:rPr>
        <w:t xml:space="preserve"> como una fuente única que apoya proyectos de construcción optimizados en todo el mundo. </w:t>
      </w:r>
    </w:p>
    <w:p w14:paraId="0CCA33D4" w14:textId="77777777" w:rsidR="008D5110" w:rsidRPr="00D37104" w:rsidRDefault="008D5110">
      <w:pPr>
        <w:spacing w:line="264" w:lineRule="auto"/>
        <w:jc w:val="both"/>
        <w:rPr>
          <w:sz w:val="20"/>
          <w:szCs w:val="22"/>
          <w:lang w:val="es-ES"/>
        </w:rPr>
      </w:pPr>
    </w:p>
    <w:p w14:paraId="443300D7" w14:textId="77777777" w:rsidR="008D5110" w:rsidRPr="00D37104" w:rsidRDefault="00AF4293">
      <w:pPr>
        <w:spacing w:line="264" w:lineRule="auto"/>
        <w:jc w:val="both"/>
        <w:rPr>
          <w:b/>
          <w:sz w:val="20"/>
          <w:szCs w:val="22"/>
          <w:lang w:val="es-ES"/>
        </w:rPr>
      </w:pPr>
      <w:r>
        <w:rPr>
          <w:b/>
          <w:sz w:val="20"/>
          <w:szCs w:val="22"/>
          <w:lang w:val="es-ES"/>
        </w:rPr>
        <w:t xml:space="preserve">Nuevos productos del mundo </w:t>
      </w:r>
      <w:proofErr w:type="spellStart"/>
      <w:r>
        <w:rPr>
          <w:b/>
          <w:sz w:val="20"/>
          <w:szCs w:val="22"/>
          <w:lang w:val="es-ES"/>
        </w:rPr>
        <w:t>Doka</w:t>
      </w:r>
      <w:proofErr w:type="spellEnd"/>
    </w:p>
    <w:p w14:paraId="73B4141D" w14:textId="77777777" w:rsidR="008D5110" w:rsidRPr="004A7E76" w:rsidRDefault="00AF4293">
      <w:pPr>
        <w:tabs>
          <w:tab w:val="left" w:pos="2835"/>
        </w:tabs>
        <w:spacing w:line="264" w:lineRule="auto"/>
        <w:contextualSpacing/>
        <w:jc w:val="both"/>
        <w:rPr>
          <w:rFonts w:cs="Arial"/>
          <w:sz w:val="20"/>
          <w:szCs w:val="22"/>
          <w:lang w:val="es-ES"/>
        </w:rPr>
      </w:pPr>
      <w:proofErr w:type="spellStart"/>
      <w:r>
        <w:rPr>
          <w:rFonts w:cs="Arial"/>
          <w:sz w:val="20"/>
          <w:szCs w:val="22"/>
          <w:lang w:val="es-ES"/>
        </w:rPr>
        <w:t>Doka</w:t>
      </w:r>
      <w:proofErr w:type="spellEnd"/>
      <w:r>
        <w:rPr>
          <w:rFonts w:cs="Arial"/>
          <w:sz w:val="20"/>
          <w:szCs w:val="22"/>
          <w:lang w:val="es-ES"/>
        </w:rPr>
        <w:t xml:space="preserve"> es consciente de que, en los lugares de construcción, la seguridad, la flexibilidad, la ergonomía y la rentabilidad son los factores decisivos para el éxito, por lo que los sistemas de encofrado y andamiaje de </w:t>
      </w:r>
      <w:proofErr w:type="spellStart"/>
      <w:r>
        <w:rPr>
          <w:rFonts w:cs="Arial"/>
          <w:sz w:val="20"/>
          <w:szCs w:val="22"/>
          <w:lang w:val="es-ES"/>
        </w:rPr>
        <w:t>Doka</w:t>
      </w:r>
      <w:proofErr w:type="spellEnd"/>
      <w:r>
        <w:rPr>
          <w:rFonts w:cs="Arial"/>
          <w:sz w:val="20"/>
          <w:szCs w:val="22"/>
          <w:lang w:val="es-ES"/>
        </w:rPr>
        <w:t xml:space="preserve"> están optimizados para satisfacer estas necesidades. En la exposición de </w:t>
      </w:r>
      <w:proofErr w:type="spellStart"/>
      <w:r>
        <w:rPr>
          <w:rFonts w:cs="Arial"/>
          <w:sz w:val="20"/>
          <w:szCs w:val="22"/>
          <w:lang w:val="es-ES"/>
        </w:rPr>
        <w:t>Doka</w:t>
      </w:r>
      <w:proofErr w:type="spellEnd"/>
      <w:r>
        <w:rPr>
          <w:rFonts w:cs="Arial"/>
          <w:sz w:val="20"/>
          <w:szCs w:val="22"/>
          <w:lang w:val="es-ES"/>
        </w:rPr>
        <w:t>, los visitantes podrán experimentar de cerca las soluciones prácticas en una amplia zona.</w:t>
      </w:r>
    </w:p>
    <w:p w14:paraId="5E749ED5" w14:textId="77777777" w:rsidR="008D5110" w:rsidRPr="004A7E76" w:rsidRDefault="008D5110">
      <w:pPr>
        <w:tabs>
          <w:tab w:val="left" w:pos="2835"/>
        </w:tabs>
        <w:spacing w:line="264" w:lineRule="auto"/>
        <w:contextualSpacing/>
        <w:rPr>
          <w:rFonts w:cs="Arial"/>
          <w:sz w:val="20"/>
          <w:szCs w:val="22"/>
          <w:lang w:val="es-ES"/>
        </w:rPr>
      </w:pPr>
    </w:p>
    <w:p w14:paraId="3AFE4CC9" w14:textId="4350029B" w:rsidR="008D5110" w:rsidRPr="004A7E76" w:rsidRDefault="00AF4293">
      <w:pPr>
        <w:pStyle w:val="Listenabsatz"/>
        <w:numPr>
          <w:ilvl w:val="0"/>
          <w:numId w:val="2"/>
        </w:numPr>
        <w:tabs>
          <w:tab w:val="left" w:pos="2835"/>
        </w:tabs>
        <w:spacing w:line="264" w:lineRule="auto"/>
        <w:jc w:val="both"/>
        <w:rPr>
          <w:rFonts w:cs="Arial"/>
          <w:sz w:val="20"/>
          <w:szCs w:val="22"/>
          <w:lang w:val="es-ES"/>
        </w:rPr>
      </w:pPr>
      <w:proofErr w:type="spellStart"/>
      <w:r>
        <w:rPr>
          <w:rFonts w:cs="Arial"/>
          <w:sz w:val="20"/>
          <w:szCs w:val="22"/>
          <w:lang w:val="es-ES"/>
        </w:rPr>
        <w:lastRenderedPageBreak/>
        <w:t>Doka</w:t>
      </w:r>
      <w:proofErr w:type="spellEnd"/>
      <w:r>
        <w:rPr>
          <w:rFonts w:cs="Arial"/>
          <w:sz w:val="20"/>
          <w:szCs w:val="22"/>
          <w:lang w:val="es-ES"/>
        </w:rPr>
        <w:t xml:space="preserve"> iniciará una nueva era en el encofrado de</w:t>
      </w:r>
      <w:r w:rsidR="0069570F">
        <w:rPr>
          <w:rFonts w:cs="Arial"/>
          <w:sz w:val="20"/>
          <w:szCs w:val="22"/>
          <w:lang w:val="es-ES"/>
        </w:rPr>
        <w:t xml:space="preserve"> forjados</w:t>
      </w:r>
      <w:r>
        <w:rPr>
          <w:rFonts w:cs="Arial"/>
          <w:sz w:val="20"/>
          <w:szCs w:val="22"/>
          <w:lang w:val="es-ES"/>
        </w:rPr>
        <w:t xml:space="preserve"> al mostrar una familia de sistemas sin precedentes en el segmento. Diseñada para adaptarse a cualquier tipo de geometría de</w:t>
      </w:r>
      <w:r w:rsidR="0069570F">
        <w:rPr>
          <w:rFonts w:cs="Arial"/>
          <w:sz w:val="20"/>
          <w:szCs w:val="22"/>
          <w:lang w:val="es-ES"/>
        </w:rPr>
        <w:t xml:space="preserve"> forjado, su versátil </w:t>
      </w:r>
      <w:proofErr w:type="spellStart"/>
      <w:r w:rsidR="0069570F">
        <w:rPr>
          <w:rFonts w:cs="Arial"/>
          <w:sz w:val="20"/>
          <w:szCs w:val="22"/>
          <w:lang w:val="es-ES"/>
        </w:rPr>
        <w:t>comoposición</w:t>
      </w:r>
      <w:proofErr w:type="spellEnd"/>
      <w:r w:rsidR="0069570F">
        <w:rPr>
          <w:rFonts w:cs="Arial"/>
          <w:sz w:val="20"/>
          <w:szCs w:val="22"/>
          <w:lang w:val="es-ES"/>
        </w:rPr>
        <w:t xml:space="preserve"> </w:t>
      </w:r>
      <w:r>
        <w:rPr>
          <w:rFonts w:cs="Arial"/>
          <w:sz w:val="20"/>
          <w:szCs w:val="22"/>
          <w:lang w:val="es-ES"/>
        </w:rPr>
        <w:t>gestiona fácilmente el equilibrio entre la construcción residencial a pequeña escala y las construcciones a gran escala. Durante el desarrollo del producto, el objetivo principal fue mejorar la ergonomía y la seguridad en el lugar de construcción. Al mismo tiempo, el sistema ofrece un aumento sustancial de la productividad al permitir la optimización de los procesos de la planta mediante la automatización. Los visitantes podrán conocer de cerca toda la familia de sistemas y las demostraciones completarán la experiencia.</w:t>
      </w:r>
    </w:p>
    <w:p w14:paraId="48D49B14" w14:textId="271354B0" w:rsidR="008D5110" w:rsidRPr="004A7E76" w:rsidRDefault="00AF4293">
      <w:pPr>
        <w:pStyle w:val="Listenabsatz"/>
        <w:numPr>
          <w:ilvl w:val="0"/>
          <w:numId w:val="2"/>
        </w:numPr>
        <w:tabs>
          <w:tab w:val="left" w:pos="2835"/>
        </w:tabs>
        <w:spacing w:line="264" w:lineRule="auto"/>
        <w:jc w:val="both"/>
        <w:rPr>
          <w:rFonts w:cs="Arial"/>
          <w:sz w:val="20"/>
          <w:szCs w:val="22"/>
          <w:lang w:val="es-ES"/>
        </w:rPr>
      </w:pPr>
      <w:r>
        <w:rPr>
          <w:rFonts w:cs="Arial"/>
          <w:sz w:val="20"/>
          <w:szCs w:val="22"/>
          <w:lang w:val="es-ES"/>
        </w:rPr>
        <w:t xml:space="preserve">La actualización de </w:t>
      </w:r>
      <w:proofErr w:type="spellStart"/>
      <w:r>
        <w:rPr>
          <w:rFonts w:cs="Arial"/>
          <w:sz w:val="20"/>
          <w:szCs w:val="22"/>
          <w:lang w:val="es-ES"/>
        </w:rPr>
        <w:t>Framax</w:t>
      </w:r>
      <w:proofErr w:type="spellEnd"/>
      <w:r>
        <w:rPr>
          <w:rFonts w:cs="Arial"/>
          <w:sz w:val="20"/>
          <w:szCs w:val="22"/>
          <w:lang w:val="es-ES"/>
        </w:rPr>
        <w:t xml:space="preserve"> </w:t>
      </w:r>
      <w:proofErr w:type="spellStart"/>
      <w:r>
        <w:rPr>
          <w:rFonts w:cs="Arial"/>
          <w:sz w:val="20"/>
          <w:szCs w:val="22"/>
          <w:lang w:val="es-ES"/>
        </w:rPr>
        <w:t>Xlife</w:t>
      </w:r>
      <w:proofErr w:type="spellEnd"/>
      <w:r>
        <w:rPr>
          <w:rFonts w:cs="Arial"/>
          <w:sz w:val="20"/>
          <w:szCs w:val="22"/>
          <w:lang w:val="es-ES"/>
        </w:rPr>
        <w:t xml:space="preserve"> plus también se destacará en la feria, ya que se presentarán a los clientes mejoras adicionales del producto. El </w:t>
      </w:r>
      <w:proofErr w:type="spellStart"/>
      <w:r>
        <w:rPr>
          <w:rFonts w:cs="Arial"/>
          <w:sz w:val="20"/>
          <w:szCs w:val="22"/>
          <w:lang w:val="es-ES"/>
        </w:rPr>
        <w:t>sistem</w:t>
      </w:r>
      <w:proofErr w:type="spellEnd"/>
      <w:r w:rsidR="0069570F">
        <w:rPr>
          <w:rFonts w:cs="Arial"/>
          <w:sz w:val="20"/>
          <w:szCs w:val="22"/>
          <w:lang w:val="es-ES"/>
        </w:rPr>
        <w:t xml:space="preserve"> </w:t>
      </w:r>
      <w:r>
        <w:rPr>
          <w:rFonts w:cs="Arial"/>
          <w:sz w:val="20"/>
          <w:szCs w:val="22"/>
          <w:lang w:val="es-ES"/>
        </w:rPr>
        <w:t>a</w:t>
      </w:r>
      <w:r w:rsidR="0069570F">
        <w:rPr>
          <w:rFonts w:cs="Arial"/>
          <w:sz w:val="20"/>
          <w:szCs w:val="22"/>
          <w:lang w:val="es-ES"/>
        </w:rPr>
        <w:t xml:space="preserve"> </w:t>
      </w:r>
      <w:r w:rsidR="0069570F" w:rsidRPr="0069570F">
        <w:rPr>
          <w:rFonts w:cs="Arial"/>
          <w:sz w:val="20"/>
          <w:szCs w:val="22"/>
          <w:lang w:val="es-ES"/>
        </w:rPr>
        <w:t>de eficacia ya comprobada</w:t>
      </w:r>
      <w:r w:rsidR="0069570F">
        <w:rPr>
          <w:rFonts w:cs="Arial"/>
          <w:sz w:val="20"/>
          <w:szCs w:val="22"/>
          <w:lang w:val="es-ES"/>
        </w:rPr>
        <w:t xml:space="preserve"> </w:t>
      </w:r>
      <w:r>
        <w:rPr>
          <w:rFonts w:cs="Arial"/>
          <w:sz w:val="20"/>
          <w:szCs w:val="22"/>
          <w:lang w:val="es-ES"/>
        </w:rPr>
        <w:t xml:space="preserve">ha estado ayudando a las empresas de construcción a completar con éxito los proyectos de construcción durante muchos años, y ahora con una nueva altura del sistema de tres metros, es perfectamente adecuado para la construcción residencial. Con el lavado de cara y los nuevos accesorios, </w:t>
      </w:r>
      <w:proofErr w:type="spellStart"/>
      <w:r>
        <w:rPr>
          <w:rFonts w:cs="Arial"/>
          <w:sz w:val="20"/>
          <w:szCs w:val="22"/>
          <w:lang w:val="es-ES"/>
        </w:rPr>
        <w:t>Doka</w:t>
      </w:r>
      <w:proofErr w:type="spellEnd"/>
      <w:r>
        <w:rPr>
          <w:rFonts w:cs="Arial"/>
          <w:sz w:val="20"/>
          <w:szCs w:val="22"/>
          <w:lang w:val="es-ES"/>
        </w:rPr>
        <w:t xml:space="preserve"> vuelve a subir el listón en el sector </w:t>
      </w:r>
      <w:proofErr w:type="spellStart"/>
      <w:r>
        <w:rPr>
          <w:rFonts w:cs="Arial"/>
          <w:sz w:val="20"/>
          <w:szCs w:val="22"/>
          <w:lang w:val="es-ES"/>
        </w:rPr>
        <w:t>prémium</w:t>
      </w:r>
      <w:proofErr w:type="spellEnd"/>
      <w:r>
        <w:rPr>
          <w:rFonts w:cs="Arial"/>
          <w:sz w:val="20"/>
          <w:szCs w:val="22"/>
          <w:lang w:val="es-ES"/>
        </w:rPr>
        <w:t>.</w:t>
      </w:r>
    </w:p>
    <w:p w14:paraId="1F4E22DD" w14:textId="2661611B" w:rsidR="008D5110" w:rsidRPr="004A7E76" w:rsidRDefault="00AF4293">
      <w:pPr>
        <w:pStyle w:val="Listenabsatz"/>
        <w:numPr>
          <w:ilvl w:val="0"/>
          <w:numId w:val="2"/>
        </w:numPr>
        <w:tabs>
          <w:tab w:val="left" w:pos="2835"/>
        </w:tabs>
        <w:spacing w:line="264" w:lineRule="auto"/>
        <w:jc w:val="both"/>
        <w:rPr>
          <w:rFonts w:cs="Arial"/>
          <w:sz w:val="20"/>
          <w:szCs w:val="22"/>
          <w:lang w:val="es-ES"/>
        </w:rPr>
      </w:pPr>
      <w:r>
        <w:rPr>
          <w:rFonts w:cs="Arial"/>
          <w:sz w:val="20"/>
          <w:szCs w:val="22"/>
          <w:lang w:val="es-ES"/>
        </w:rPr>
        <w:t xml:space="preserve">El todoterreno </w:t>
      </w:r>
      <w:proofErr w:type="spellStart"/>
      <w:r>
        <w:rPr>
          <w:rFonts w:cs="Arial"/>
          <w:sz w:val="20"/>
          <w:szCs w:val="22"/>
          <w:lang w:val="es-ES"/>
        </w:rPr>
        <w:t>DokaXlight</w:t>
      </w:r>
      <w:proofErr w:type="spellEnd"/>
      <w:r>
        <w:rPr>
          <w:rFonts w:cs="Arial"/>
          <w:sz w:val="20"/>
          <w:szCs w:val="22"/>
          <w:lang w:val="es-ES"/>
        </w:rPr>
        <w:t xml:space="preserve"> presenta varias innovaciones con componentes de nuevo desarrollo que permiten que el sistema de encofrado de muros ya establecido se pueda utilizar también como encofrado de</w:t>
      </w:r>
      <w:r w:rsidR="0069570F">
        <w:rPr>
          <w:rFonts w:cs="Arial"/>
          <w:sz w:val="20"/>
          <w:szCs w:val="22"/>
          <w:lang w:val="es-ES"/>
        </w:rPr>
        <w:t xml:space="preserve"> forjados </w:t>
      </w:r>
      <w:r>
        <w:rPr>
          <w:rFonts w:cs="Arial"/>
          <w:sz w:val="20"/>
          <w:szCs w:val="22"/>
          <w:lang w:val="es-ES"/>
        </w:rPr>
        <w:t>en el futuro.</w:t>
      </w:r>
    </w:p>
    <w:p w14:paraId="139C2E89" w14:textId="561F9453" w:rsidR="008D5110" w:rsidRPr="004A7E76" w:rsidRDefault="00AF4293" w:rsidP="0069570F">
      <w:pPr>
        <w:pStyle w:val="Listenabsatz"/>
        <w:numPr>
          <w:ilvl w:val="0"/>
          <w:numId w:val="2"/>
        </w:numPr>
        <w:tabs>
          <w:tab w:val="left" w:pos="2835"/>
        </w:tabs>
        <w:spacing w:line="264" w:lineRule="auto"/>
        <w:jc w:val="both"/>
        <w:rPr>
          <w:rFonts w:cs="Arial"/>
          <w:sz w:val="20"/>
          <w:szCs w:val="22"/>
          <w:lang w:val="es-ES"/>
        </w:rPr>
      </w:pPr>
      <w:r>
        <w:rPr>
          <w:rFonts w:cs="Arial"/>
          <w:sz w:val="20"/>
          <w:szCs w:val="22"/>
          <w:lang w:val="es-ES"/>
        </w:rPr>
        <w:t xml:space="preserve">En el ámbito de las infraestructuras, la atención se centrará en la presentación del innovador sistema </w:t>
      </w:r>
      <w:proofErr w:type="spellStart"/>
      <w:r>
        <w:rPr>
          <w:rFonts w:cs="Arial"/>
          <w:sz w:val="20"/>
          <w:szCs w:val="22"/>
          <w:lang w:val="es-ES"/>
        </w:rPr>
        <w:t>Doka</w:t>
      </w:r>
      <w:proofErr w:type="spellEnd"/>
      <w:r>
        <w:rPr>
          <w:rFonts w:cs="Arial"/>
          <w:sz w:val="20"/>
          <w:szCs w:val="22"/>
          <w:lang w:val="es-ES"/>
        </w:rPr>
        <w:t xml:space="preserve"> </w:t>
      </w:r>
      <w:proofErr w:type="spellStart"/>
      <w:r>
        <w:rPr>
          <w:rFonts w:cs="Arial"/>
          <w:sz w:val="20"/>
          <w:szCs w:val="22"/>
          <w:lang w:val="es-ES"/>
        </w:rPr>
        <w:t>UniKit</w:t>
      </w:r>
      <w:proofErr w:type="spellEnd"/>
      <w:r>
        <w:rPr>
          <w:rFonts w:cs="Arial"/>
          <w:sz w:val="20"/>
          <w:szCs w:val="22"/>
          <w:lang w:val="es-ES"/>
        </w:rPr>
        <w:t xml:space="preserve">. Bajo el paraguas de </w:t>
      </w:r>
      <w:proofErr w:type="spellStart"/>
      <w:r>
        <w:rPr>
          <w:rFonts w:cs="Arial"/>
          <w:sz w:val="20"/>
          <w:szCs w:val="22"/>
          <w:lang w:val="es-ES"/>
        </w:rPr>
        <w:t>UniKit</w:t>
      </w:r>
      <w:proofErr w:type="spellEnd"/>
      <w:r>
        <w:rPr>
          <w:rFonts w:cs="Arial"/>
          <w:sz w:val="20"/>
          <w:szCs w:val="22"/>
          <w:lang w:val="es-ES"/>
        </w:rPr>
        <w:t xml:space="preserve">, se expondrán en Múnich varios componentes, la viga primaria y secundaria y la torre 480. Además de combinarse entre sí, los componentes pueden integrarse con todos los demás sistemas de torres de carga de </w:t>
      </w:r>
      <w:proofErr w:type="spellStart"/>
      <w:r>
        <w:rPr>
          <w:rFonts w:cs="Arial"/>
          <w:sz w:val="20"/>
          <w:szCs w:val="22"/>
          <w:lang w:val="es-ES"/>
        </w:rPr>
        <w:t>Doka</w:t>
      </w:r>
      <w:proofErr w:type="spellEnd"/>
      <w:r>
        <w:rPr>
          <w:rFonts w:cs="Arial"/>
          <w:sz w:val="20"/>
          <w:szCs w:val="22"/>
          <w:lang w:val="es-ES"/>
        </w:rPr>
        <w:t xml:space="preserve">. Ya sea para puentes, túneles, centrales eléctricas o edificios de gran altura, sobre la base de componentes modulares estándar, se pueden desarrollar soluciones de apuntalamiento completas y rentables para cada aplicación. Junto con las soluciones de encofrado de </w:t>
      </w:r>
      <w:proofErr w:type="spellStart"/>
      <w:r>
        <w:rPr>
          <w:rFonts w:cs="Arial"/>
          <w:sz w:val="20"/>
          <w:szCs w:val="22"/>
          <w:lang w:val="es-ES"/>
        </w:rPr>
        <w:t>Doka</w:t>
      </w:r>
      <w:proofErr w:type="spellEnd"/>
      <w:r>
        <w:rPr>
          <w:rFonts w:cs="Arial"/>
          <w:sz w:val="20"/>
          <w:szCs w:val="22"/>
          <w:lang w:val="es-ES"/>
        </w:rPr>
        <w:t>, los proyectos de infraestructura y de gran altura pueden completarse de manera eficiente, segura y sin</w:t>
      </w:r>
      <w:r w:rsidR="0069570F">
        <w:rPr>
          <w:rFonts w:cs="Arial"/>
          <w:sz w:val="20"/>
          <w:szCs w:val="22"/>
          <w:lang w:val="es-ES"/>
        </w:rPr>
        <w:t xml:space="preserve"> </w:t>
      </w:r>
      <w:r w:rsidR="0069570F" w:rsidRPr="0069570F">
        <w:rPr>
          <w:rFonts w:cs="Arial"/>
          <w:sz w:val="20"/>
          <w:szCs w:val="22"/>
          <w:lang w:val="es-ES"/>
        </w:rPr>
        <w:t>intermediarios</w:t>
      </w:r>
      <w:r>
        <w:rPr>
          <w:rFonts w:cs="Arial"/>
          <w:sz w:val="20"/>
          <w:szCs w:val="22"/>
          <w:lang w:val="es-ES"/>
        </w:rPr>
        <w:t>, todo de una sola mano.</w:t>
      </w:r>
    </w:p>
    <w:p w14:paraId="69B204B9" w14:textId="77777777" w:rsidR="008D5110" w:rsidRPr="004A7E76" w:rsidRDefault="008D5110">
      <w:pPr>
        <w:pStyle w:val="Listenabsatz"/>
        <w:tabs>
          <w:tab w:val="left" w:pos="2835"/>
        </w:tabs>
        <w:spacing w:line="264" w:lineRule="auto"/>
        <w:jc w:val="both"/>
        <w:rPr>
          <w:rFonts w:cs="Arial"/>
          <w:b/>
          <w:sz w:val="20"/>
          <w:szCs w:val="22"/>
          <w:lang w:val="es-ES"/>
        </w:rPr>
      </w:pPr>
    </w:p>
    <w:p w14:paraId="6D6C2DEE" w14:textId="235D64FE" w:rsidR="008D5110" w:rsidRPr="004A7E76" w:rsidRDefault="00AF4293">
      <w:pPr>
        <w:tabs>
          <w:tab w:val="left" w:pos="2835"/>
        </w:tabs>
        <w:spacing w:line="264" w:lineRule="auto"/>
        <w:contextualSpacing/>
        <w:rPr>
          <w:rFonts w:cs="Arial"/>
          <w:b/>
          <w:sz w:val="20"/>
          <w:szCs w:val="22"/>
          <w:lang w:val="es-ES"/>
        </w:rPr>
      </w:pPr>
      <w:r>
        <w:rPr>
          <w:rFonts w:cs="Arial"/>
          <w:b/>
          <w:sz w:val="20"/>
          <w:szCs w:val="22"/>
          <w:lang w:val="es-ES"/>
        </w:rPr>
        <w:t>Optimización de las operaciones</w:t>
      </w:r>
      <w:r w:rsidR="0069570F">
        <w:rPr>
          <w:rFonts w:cs="Arial"/>
          <w:b/>
          <w:sz w:val="20"/>
          <w:szCs w:val="22"/>
          <w:lang w:val="es-ES"/>
        </w:rPr>
        <w:t xml:space="preserve"> en la obra</w:t>
      </w:r>
      <w:r>
        <w:rPr>
          <w:rFonts w:cs="Arial"/>
          <w:b/>
          <w:sz w:val="20"/>
          <w:szCs w:val="22"/>
          <w:lang w:val="es-ES"/>
        </w:rPr>
        <w:t xml:space="preserve"> con las últimas soluciones digitales</w:t>
      </w:r>
    </w:p>
    <w:p w14:paraId="6A2B05E9" w14:textId="77777777" w:rsidR="008D5110" w:rsidRPr="004A7E76" w:rsidRDefault="00AF4293">
      <w:pPr>
        <w:tabs>
          <w:tab w:val="left" w:pos="2835"/>
        </w:tabs>
        <w:spacing w:line="264" w:lineRule="auto"/>
        <w:contextualSpacing/>
        <w:jc w:val="both"/>
        <w:rPr>
          <w:rFonts w:cs="Arial"/>
          <w:sz w:val="20"/>
          <w:szCs w:val="22"/>
          <w:lang w:val="es-ES"/>
        </w:rPr>
      </w:pPr>
      <w:r>
        <w:rPr>
          <w:rFonts w:cs="Arial"/>
          <w:sz w:val="20"/>
          <w:szCs w:val="22"/>
          <w:lang w:val="es-ES"/>
        </w:rPr>
        <w:t xml:space="preserve">Para </w:t>
      </w:r>
      <w:proofErr w:type="spellStart"/>
      <w:r>
        <w:rPr>
          <w:rFonts w:cs="Arial"/>
          <w:sz w:val="20"/>
          <w:szCs w:val="22"/>
          <w:lang w:val="es-ES"/>
        </w:rPr>
        <w:t>Doka</w:t>
      </w:r>
      <w:proofErr w:type="spellEnd"/>
      <w:r>
        <w:rPr>
          <w:rFonts w:cs="Arial"/>
          <w:sz w:val="20"/>
          <w:szCs w:val="22"/>
          <w:lang w:val="es-ES"/>
        </w:rPr>
        <w:t xml:space="preserve">, el intercambio con clientes, socios y entusiastas del sector es crucial para construir juntos el futuro. Uno de los temas para el futuro es la digitalización, que es evidente en todas las áreas de producto. En la zona de servicios digitales, los visitantes podrán probar las últimas soluciones y servicios digitales de </w:t>
      </w:r>
      <w:proofErr w:type="spellStart"/>
      <w:r>
        <w:rPr>
          <w:rFonts w:cs="Arial"/>
          <w:sz w:val="20"/>
          <w:szCs w:val="22"/>
          <w:lang w:val="es-ES"/>
        </w:rPr>
        <w:t>Doka</w:t>
      </w:r>
      <w:proofErr w:type="spellEnd"/>
      <w:r>
        <w:rPr>
          <w:rFonts w:cs="Arial"/>
          <w:sz w:val="20"/>
          <w:szCs w:val="22"/>
          <w:lang w:val="es-ES"/>
        </w:rPr>
        <w:t xml:space="preserve">, como </w:t>
      </w:r>
      <w:proofErr w:type="spellStart"/>
      <w:r>
        <w:rPr>
          <w:rFonts w:cs="Arial"/>
          <w:sz w:val="20"/>
          <w:szCs w:val="22"/>
          <w:lang w:val="es-ES"/>
        </w:rPr>
        <w:t>Easy</w:t>
      </w:r>
      <w:proofErr w:type="spellEnd"/>
      <w:r>
        <w:rPr>
          <w:rFonts w:cs="Arial"/>
          <w:sz w:val="20"/>
          <w:szCs w:val="22"/>
          <w:lang w:val="es-ES"/>
        </w:rPr>
        <w:t xml:space="preserve"> </w:t>
      </w:r>
      <w:proofErr w:type="spellStart"/>
      <w:r>
        <w:rPr>
          <w:rFonts w:cs="Arial"/>
          <w:sz w:val="20"/>
          <w:szCs w:val="22"/>
          <w:lang w:val="es-ES"/>
        </w:rPr>
        <w:t>Formwork</w:t>
      </w:r>
      <w:proofErr w:type="spellEnd"/>
      <w:r>
        <w:rPr>
          <w:rFonts w:cs="Arial"/>
          <w:sz w:val="20"/>
          <w:szCs w:val="22"/>
          <w:lang w:val="es-ES"/>
        </w:rPr>
        <w:t xml:space="preserve"> </w:t>
      </w:r>
      <w:proofErr w:type="spellStart"/>
      <w:r>
        <w:rPr>
          <w:rFonts w:cs="Arial"/>
          <w:sz w:val="20"/>
          <w:szCs w:val="22"/>
          <w:lang w:val="es-ES"/>
        </w:rPr>
        <w:t>Planner</w:t>
      </w:r>
      <w:proofErr w:type="spellEnd"/>
      <w:r>
        <w:rPr>
          <w:rFonts w:cs="Arial"/>
          <w:sz w:val="20"/>
          <w:szCs w:val="22"/>
          <w:lang w:val="es-ES"/>
        </w:rPr>
        <w:t xml:space="preserve">, una aplicación móvil que hace que la planificación del encofrado sea casi intuitiva. La oferta de servicios digitales de </w:t>
      </w:r>
      <w:proofErr w:type="spellStart"/>
      <w:r>
        <w:rPr>
          <w:rFonts w:cs="Arial"/>
          <w:sz w:val="20"/>
          <w:szCs w:val="22"/>
          <w:lang w:val="es-ES"/>
        </w:rPr>
        <w:t>Doka</w:t>
      </w:r>
      <w:proofErr w:type="spellEnd"/>
      <w:r>
        <w:rPr>
          <w:rFonts w:cs="Arial"/>
          <w:sz w:val="20"/>
          <w:szCs w:val="22"/>
          <w:lang w:val="es-ES"/>
        </w:rPr>
        <w:t xml:space="preserve"> se presentará en tres áreas: Smart </w:t>
      </w:r>
      <w:proofErr w:type="spellStart"/>
      <w:r>
        <w:rPr>
          <w:rFonts w:cs="Arial"/>
          <w:sz w:val="20"/>
          <w:szCs w:val="22"/>
          <w:lang w:val="es-ES"/>
        </w:rPr>
        <w:t>Site</w:t>
      </w:r>
      <w:proofErr w:type="spellEnd"/>
      <w:r>
        <w:rPr>
          <w:rFonts w:cs="Arial"/>
          <w:sz w:val="20"/>
          <w:szCs w:val="22"/>
          <w:lang w:val="es-ES"/>
        </w:rPr>
        <w:t xml:space="preserve">, Smart </w:t>
      </w:r>
      <w:proofErr w:type="spellStart"/>
      <w:r>
        <w:rPr>
          <w:rFonts w:cs="Arial"/>
          <w:sz w:val="20"/>
          <w:szCs w:val="22"/>
          <w:lang w:val="es-ES"/>
        </w:rPr>
        <w:t>Assistants</w:t>
      </w:r>
      <w:proofErr w:type="spellEnd"/>
      <w:r>
        <w:rPr>
          <w:rFonts w:cs="Arial"/>
          <w:sz w:val="20"/>
          <w:szCs w:val="22"/>
          <w:lang w:val="es-ES"/>
        </w:rPr>
        <w:t xml:space="preserve"> y Smart </w:t>
      </w:r>
      <w:proofErr w:type="spellStart"/>
      <w:r>
        <w:rPr>
          <w:rFonts w:cs="Arial"/>
          <w:sz w:val="20"/>
          <w:szCs w:val="22"/>
          <w:lang w:val="es-ES"/>
        </w:rPr>
        <w:t>Planning</w:t>
      </w:r>
      <w:proofErr w:type="spellEnd"/>
      <w:r>
        <w:rPr>
          <w:rFonts w:cs="Arial"/>
          <w:sz w:val="20"/>
          <w:szCs w:val="22"/>
          <w:lang w:val="es-ES"/>
        </w:rPr>
        <w:t xml:space="preserve">. </w:t>
      </w:r>
      <w:proofErr w:type="spellStart"/>
      <w:r>
        <w:rPr>
          <w:rFonts w:cs="Arial"/>
          <w:sz w:val="20"/>
          <w:szCs w:val="22"/>
          <w:lang w:val="es-ES"/>
        </w:rPr>
        <w:t>Doka</w:t>
      </w:r>
      <w:proofErr w:type="spellEnd"/>
      <w:r>
        <w:rPr>
          <w:rFonts w:cs="Arial"/>
          <w:sz w:val="20"/>
          <w:szCs w:val="22"/>
          <w:lang w:val="es-ES"/>
        </w:rPr>
        <w:t xml:space="preserve"> se centra en las soluciones digitales que tienen como objetivo optimizar las operaciones del lugar de construcción y, en consecuencia, contribuir de manera significativa a aumentar la productividad. La atención se centra en aspectos clave como la simplificación de los flujos de trabajo, una mayor transparencia y una mejor calidad de ejecución.</w:t>
      </w:r>
    </w:p>
    <w:p w14:paraId="0F8E9EA1" w14:textId="77777777" w:rsidR="008D5110" w:rsidRPr="004A7E76" w:rsidRDefault="008D5110">
      <w:pPr>
        <w:tabs>
          <w:tab w:val="left" w:pos="2835"/>
        </w:tabs>
        <w:spacing w:line="264" w:lineRule="auto"/>
        <w:contextualSpacing/>
        <w:jc w:val="both"/>
        <w:rPr>
          <w:rFonts w:cs="Arial"/>
          <w:sz w:val="20"/>
          <w:szCs w:val="22"/>
          <w:lang w:val="es-ES"/>
        </w:rPr>
      </w:pPr>
    </w:p>
    <w:p w14:paraId="6D6837F0" w14:textId="77777777" w:rsidR="008D5110" w:rsidRPr="004A7E76" w:rsidRDefault="00AF4293">
      <w:pPr>
        <w:tabs>
          <w:tab w:val="left" w:pos="2835"/>
        </w:tabs>
        <w:spacing w:line="264" w:lineRule="auto"/>
        <w:contextualSpacing/>
        <w:jc w:val="both"/>
        <w:rPr>
          <w:rFonts w:cs="Arial"/>
          <w:b/>
          <w:sz w:val="20"/>
          <w:szCs w:val="22"/>
          <w:lang w:val="es-ES"/>
        </w:rPr>
      </w:pPr>
      <w:proofErr w:type="spellStart"/>
      <w:r>
        <w:rPr>
          <w:rFonts w:cs="Arial"/>
          <w:b/>
          <w:sz w:val="20"/>
          <w:szCs w:val="22"/>
          <w:lang w:val="es-ES"/>
        </w:rPr>
        <w:t>Doka</w:t>
      </w:r>
      <w:proofErr w:type="spellEnd"/>
      <w:r>
        <w:rPr>
          <w:rFonts w:cs="Arial"/>
          <w:b/>
          <w:sz w:val="20"/>
          <w:szCs w:val="22"/>
          <w:lang w:val="es-ES"/>
        </w:rPr>
        <w:t xml:space="preserve"> lleva la publicidad exterior al lugar de construcción</w:t>
      </w:r>
    </w:p>
    <w:p w14:paraId="5236EDE5" w14:textId="77777777" w:rsidR="008D5110" w:rsidRPr="004A7E76" w:rsidRDefault="00AF4293">
      <w:pPr>
        <w:tabs>
          <w:tab w:val="left" w:pos="2835"/>
        </w:tabs>
        <w:spacing w:line="264" w:lineRule="auto"/>
        <w:contextualSpacing/>
        <w:jc w:val="both"/>
        <w:rPr>
          <w:rFonts w:cs="Arial"/>
          <w:sz w:val="20"/>
          <w:szCs w:val="22"/>
          <w:lang w:val="es-ES"/>
        </w:rPr>
      </w:pPr>
      <w:r>
        <w:rPr>
          <w:rFonts w:cs="Arial"/>
          <w:sz w:val="20"/>
          <w:szCs w:val="22"/>
          <w:lang w:val="es-ES"/>
        </w:rPr>
        <w:t xml:space="preserve">En su primera aparición, </w:t>
      </w:r>
      <w:proofErr w:type="spellStart"/>
      <w:r>
        <w:rPr>
          <w:rFonts w:cs="Arial"/>
          <w:sz w:val="20"/>
          <w:szCs w:val="22"/>
          <w:lang w:val="es-ES"/>
        </w:rPr>
        <w:t>SiteLight</w:t>
      </w:r>
      <w:proofErr w:type="spellEnd"/>
      <w:r>
        <w:rPr>
          <w:rFonts w:cs="Arial"/>
          <w:sz w:val="20"/>
          <w:szCs w:val="22"/>
          <w:lang w:val="es-ES"/>
        </w:rPr>
        <w:t xml:space="preserve"> presentará a los visitantes todo un nuevo espectro de oportunidades de publicidad en el sector de la construcción. Los ingenieros de </w:t>
      </w:r>
      <w:proofErr w:type="spellStart"/>
      <w:r>
        <w:rPr>
          <w:rFonts w:cs="Arial"/>
          <w:sz w:val="20"/>
          <w:szCs w:val="22"/>
          <w:lang w:val="es-ES"/>
        </w:rPr>
        <w:t>Doka</w:t>
      </w:r>
      <w:proofErr w:type="spellEnd"/>
      <w:r>
        <w:rPr>
          <w:rFonts w:cs="Arial"/>
          <w:sz w:val="20"/>
          <w:szCs w:val="22"/>
          <w:lang w:val="es-ES"/>
        </w:rPr>
        <w:t xml:space="preserve"> y los expertos en LED de su empresa hermana, </w:t>
      </w:r>
      <w:proofErr w:type="spellStart"/>
      <w:r>
        <w:rPr>
          <w:rFonts w:cs="Arial"/>
          <w:sz w:val="20"/>
          <w:szCs w:val="22"/>
          <w:lang w:val="es-ES"/>
        </w:rPr>
        <w:t>umdasch</w:t>
      </w:r>
      <w:proofErr w:type="spellEnd"/>
      <w:r>
        <w:rPr>
          <w:rFonts w:cs="Arial"/>
          <w:sz w:val="20"/>
          <w:szCs w:val="22"/>
          <w:lang w:val="es-ES"/>
        </w:rPr>
        <w:t xml:space="preserve"> </w:t>
      </w:r>
      <w:proofErr w:type="spellStart"/>
      <w:r>
        <w:rPr>
          <w:rFonts w:cs="Arial"/>
          <w:sz w:val="20"/>
          <w:szCs w:val="22"/>
          <w:lang w:val="es-ES"/>
        </w:rPr>
        <w:t>The</w:t>
      </w:r>
      <w:proofErr w:type="spellEnd"/>
      <w:r>
        <w:rPr>
          <w:rFonts w:cs="Arial"/>
          <w:sz w:val="20"/>
          <w:szCs w:val="22"/>
          <w:lang w:val="es-ES"/>
        </w:rPr>
        <w:t xml:space="preserve"> Store </w:t>
      </w:r>
      <w:proofErr w:type="spellStart"/>
      <w:r>
        <w:rPr>
          <w:rFonts w:cs="Arial"/>
          <w:sz w:val="20"/>
          <w:szCs w:val="22"/>
          <w:lang w:val="es-ES"/>
        </w:rPr>
        <w:t>Makers</w:t>
      </w:r>
      <w:proofErr w:type="spellEnd"/>
      <w:r>
        <w:rPr>
          <w:rFonts w:cs="Arial"/>
          <w:sz w:val="20"/>
          <w:szCs w:val="22"/>
          <w:lang w:val="es-ES"/>
        </w:rPr>
        <w:t xml:space="preserve">, están revolucionando las anticuadas pancartas publicitarias del sector de la construcción con la creación de un inspirado soporte que cambia continuamente de perspectiva a medida que el edificio crece. </w:t>
      </w:r>
      <w:proofErr w:type="spellStart"/>
      <w:r>
        <w:rPr>
          <w:rFonts w:cs="Arial"/>
          <w:sz w:val="20"/>
          <w:szCs w:val="22"/>
          <w:lang w:val="es-ES"/>
        </w:rPr>
        <w:t>SiteLight</w:t>
      </w:r>
      <w:proofErr w:type="spellEnd"/>
      <w:r>
        <w:rPr>
          <w:rFonts w:cs="Arial"/>
          <w:sz w:val="20"/>
          <w:szCs w:val="22"/>
          <w:lang w:val="es-ES"/>
        </w:rPr>
        <w:t xml:space="preserve"> abre nuevas puertas a los profesionales del marketing en el sector digital de la publicidad exterior utilizando tecnología de iluminación y asociaciones de marketing para habilitar espacios publicitarios digitales llamativos, pero temporales, en zonas altamente competitivas. La innovadora tecnología será visible más allá del recinto ferial, ya que 120 metros cuadrados </w:t>
      </w:r>
      <w:r>
        <w:rPr>
          <w:rFonts w:cs="Arial"/>
          <w:sz w:val="20"/>
          <w:szCs w:val="22"/>
          <w:lang w:val="es-ES"/>
        </w:rPr>
        <w:lastRenderedPageBreak/>
        <w:t xml:space="preserve">de superficie publicitaria </w:t>
      </w:r>
      <w:proofErr w:type="spellStart"/>
      <w:r>
        <w:rPr>
          <w:rFonts w:cs="Arial"/>
          <w:sz w:val="20"/>
          <w:szCs w:val="22"/>
          <w:lang w:val="es-ES"/>
        </w:rPr>
        <w:t>SiteLight</w:t>
      </w:r>
      <w:proofErr w:type="spellEnd"/>
      <w:r>
        <w:rPr>
          <w:rFonts w:cs="Arial"/>
          <w:sz w:val="20"/>
          <w:szCs w:val="22"/>
          <w:lang w:val="es-ES"/>
        </w:rPr>
        <w:t xml:space="preserve">, compuesta por 84 paneles LED, envuelven la torre de andamios de </w:t>
      </w:r>
      <w:proofErr w:type="spellStart"/>
      <w:r>
        <w:rPr>
          <w:rFonts w:cs="Arial"/>
          <w:sz w:val="20"/>
          <w:szCs w:val="22"/>
          <w:lang w:val="es-ES"/>
        </w:rPr>
        <w:t>Doka</w:t>
      </w:r>
      <w:proofErr w:type="spellEnd"/>
      <w:r>
        <w:rPr>
          <w:rFonts w:cs="Arial"/>
          <w:sz w:val="20"/>
          <w:szCs w:val="22"/>
          <w:lang w:val="es-ES"/>
        </w:rPr>
        <w:t>, de 30 metros de altura.</w:t>
      </w:r>
    </w:p>
    <w:p w14:paraId="20513FD6" w14:textId="77777777" w:rsidR="008D5110" w:rsidRPr="004A7E76" w:rsidRDefault="008D5110">
      <w:pPr>
        <w:tabs>
          <w:tab w:val="left" w:pos="2835"/>
        </w:tabs>
        <w:spacing w:line="264" w:lineRule="auto"/>
        <w:contextualSpacing/>
        <w:jc w:val="both"/>
        <w:rPr>
          <w:rFonts w:cs="Arial"/>
          <w:sz w:val="20"/>
          <w:szCs w:val="22"/>
          <w:lang w:val="es-ES"/>
        </w:rPr>
      </w:pPr>
    </w:p>
    <w:p w14:paraId="680ABFD1" w14:textId="77777777" w:rsidR="008D5110" w:rsidRPr="004A7E76" w:rsidRDefault="00AF4293">
      <w:pPr>
        <w:tabs>
          <w:tab w:val="left" w:pos="2835"/>
        </w:tabs>
        <w:spacing w:line="264" w:lineRule="auto"/>
        <w:contextualSpacing/>
        <w:jc w:val="both"/>
        <w:rPr>
          <w:rFonts w:cs="Arial"/>
          <w:b/>
          <w:sz w:val="20"/>
          <w:szCs w:val="22"/>
          <w:lang w:val="es-ES"/>
        </w:rPr>
      </w:pPr>
      <w:proofErr w:type="spellStart"/>
      <w:r>
        <w:rPr>
          <w:rFonts w:cs="Arial"/>
          <w:b/>
          <w:sz w:val="20"/>
          <w:szCs w:val="22"/>
          <w:lang w:val="es-ES"/>
        </w:rPr>
        <w:t>Doka</w:t>
      </w:r>
      <w:proofErr w:type="spellEnd"/>
      <w:r>
        <w:rPr>
          <w:rFonts w:cs="Arial"/>
          <w:b/>
          <w:sz w:val="20"/>
          <w:szCs w:val="22"/>
          <w:lang w:val="es-ES"/>
        </w:rPr>
        <w:t xml:space="preserve"> calcula la huella de CO</w:t>
      </w:r>
      <w:r>
        <w:rPr>
          <w:rFonts w:cs="Arial"/>
          <w:b/>
          <w:sz w:val="20"/>
          <w:szCs w:val="22"/>
          <w:vertAlign w:val="subscript"/>
          <w:lang w:val="es-ES"/>
        </w:rPr>
        <w:t>2</w:t>
      </w:r>
      <w:r>
        <w:rPr>
          <w:rFonts w:cs="Arial"/>
          <w:b/>
          <w:sz w:val="20"/>
          <w:szCs w:val="22"/>
          <w:lang w:val="es-ES"/>
        </w:rPr>
        <w:t xml:space="preserve"> de todos los productos</w:t>
      </w:r>
    </w:p>
    <w:p w14:paraId="7F6DB546" w14:textId="716A9964" w:rsidR="008D5110" w:rsidRPr="004A7E76" w:rsidRDefault="00AF4293">
      <w:pPr>
        <w:tabs>
          <w:tab w:val="left" w:pos="2835"/>
        </w:tabs>
        <w:spacing w:line="264" w:lineRule="auto"/>
        <w:contextualSpacing/>
        <w:jc w:val="both"/>
        <w:rPr>
          <w:rFonts w:cs="Arial"/>
          <w:sz w:val="20"/>
          <w:szCs w:val="22"/>
          <w:lang w:val="es-ES"/>
        </w:rPr>
      </w:pPr>
      <w:r>
        <w:rPr>
          <w:rFonts w:cs="Arial"/>
          <w:sz w:val="20"/>
          <w:szCs w:val="22"/>
          <w:lang w:val="es-ES"/>
        </w:rPr>
        <w:t>Reconociendo la creciente importancia de la sostenibilidad y de los criterios ESG en</w:t>
      </w:r>
      <w:r w:rsidR="0069570F">
        <w:rPr>
          <w:rFonts w:cs="Arial"/>
          <w:sz w:val="20"/>
          <w:szCs w:val="22"/>
          <w:lang w:val="es-ES"/>
        </w:rPr>
        <w:t xml:space="preserve"> el desarrollo d</w:t>
      </w:r>
      <w:r>
        <w:rPr>
          <w:rFonts w:cs="Arial"/>
          <w:sz w:val="20"/>
          <w:szCs w:val="22"/>
          <w:lang w:val="es-ES"/>
        </w:rPr>
        <w:t xml:space="preserve">e las inversiones de los clientes, </w:t>
      </w:r>
      <w:proofErr w:type="spellStart"/>
      <w:r>
        <w:rPr>
          <w:rFonts w:cs="Arial"/>
          <w:sz w:val="20"/>
          <w:szCs w:val="22"/>
          <w:lang w:val="es-ES"/>
        </w:rPr>
        <w:t>Doka</w:t>
      </w:r>
      <w:proofErr w:type="spellEnd"/>
      <w:r>
        <w:rPr>
          <w:rFonts w:cs="Arial"/>
          <w:sz w:val="20"/>
          <w:szCs w:val="22"/>
          <w:lang w:val="es-ES"/>
        </w:rPr>
        <w:t xml:space="preserve">, como parte del Grupo </w:t>
      </w:r>
      <w:proofErr w:type="spellStart"/>
      <w:r>
        <w:rPr>
          <w:rFonts w:cs="Arial"/>
          <w:sz w:val="20"/>
          <w:szCs w:val="22"/>
          <w:lang w:val="es-ES"/>
        </w:rPr>
        <w:t>Umdasch</w:t>
      </w:r>
      <w:proofErr w:type="spellEnd"/>
      <w:r>
        <w:rPr>
          <w:rFonts w:cs="Arial"/>
          <w:sz w:val="20"/>
          <w:szCs w:val="22"/>
          <w:lang w:val="es-ES"/>
        </w:rPr>
        <w:t xml:space="preserve">, ha establecido objetivos ambiciosos en términos de sostenibilidad. En un proyecto de gran envergadura, </w:t>
      </w:r>
      <w:proofErr w:type="spellStart"/>
      <w:r>
        <w:rPr>
          <w:rFonts w:cs="Arial"/>
          <w:sz w:val="20"/>
          <w:szCs w:val="22"/>
          <w:lang w:val="es-ES"/>
        </w:rPr>
        <w:t>Doka</w:t>
      </w:r>
      <w:proofErr w:type="spellEnd"/>
      <w:r>
        <w:rPr>
          <w:rFonts w:cs="Arial"/>
          <w:sz w:val="20"/>
          <w:szCs w:val="22"/>
          <w:lang w:val="es-ES"/>
        </w:rPr>
        <w:t xml:space="preserve"> ha calculado la huella de carbono del producto (PCF) de la mayoría de sus 6000 productos: «Crear transparencia es una piedra angular para dirigirnos hacia las emisiones netas de carbono cero», explica </w:t>
      </w:r>
      <w:proofErr w:type="spellStart"/>
      <w:r>
        <w:rPr>
          <w:rFonts w:cs="Arial"/>
          <w:sz w:val="20"/>
          <w:szCs w:val="22"/>
          <w:lang w:val="es-ES"/>
        </w:rPr>
        <w:t>Hauser</w:t>
      </w:r>
      <w:proofErr w:type="spellEnd"/>
      <w:r>
        <w:rPr>
          <w:rFonts w:cs="Arial"/>
          <w:sz w:val="20"/>
          <w:szCs w:val="22"/>
          <w:lang w:val="es-ES"/>
        </w:rPr>
        <w:t>. «Al poner los datos de las emisiones de CO</w:t>
      </w:r>
      <w:r>
        <w:rPr>
          <w:rFonts w:cs="Arial"/>
          <w:sz w:val="20"/>
          <w:szCs w:val="22"/>
          <w:vertAlign w:val="subscript"/>
          <w:lang w:val="es-ES"/>
        </w:rPr>
        <w:t>2</w:t>
      </w:r>
      <w:r>
        <w:rPr>
          <w:rFonts w:cs="Arial"/>
          <w:sz w:val="20"/>
          <w:szCs w:val="22"/>
          <w:lang w:val="es-ES"/>
        </w:rPr>
        <w:t xml:space="preserve"> a disposición de nuestros clientes con respecto a productos individuales, estamos proporcionando una transparencia que es única en la industria de la construcción». Con este enfoque, como parte de la cadena de suministro, </w:t>
      </w:r>
      <w:proofErr w:type="spellStart"/>
      <w:r>
        <w:rPr>
          <w:rFonts w:cs="Arial"/>
          <w:sz w:val="20"/>
          <w:szCs w:val="22"/>
          <w:lang w:val="es-ES"/>
        </w:rPr>
        <w:t>Doka</w:t>
      </w:r>
      <w:proofErr w:type="spellEnd"/>
      <w:r>
        <w:rPr>
          <w:rFonts w:cs="Arial"/>
          <w:sz w:val="20"/>
          <w:szCs w:val="22"/>
          <w:lang w:val="es-ES"/>
        </w:rPr>
        <w:t xml:space="preserve"> apoya los objetivos de sus clientes de reducir su propia huella de carbono. </w:t>
      </w:r>
      <w:proofErr w:type="spellStart"/>
      <w:r>
        <w:rPr>
          <w:rFonts w:cs="Arial"/>
          <w:sz w:val="20"/>
          <w:szCs w:val="22"/>
          <w:lang w:val="es-ES"/>
        </w:rPr>
        <w:t>Hauser</w:t>
      </w:r>
      <w:proofErr w:type="spellEnd"/>
      <w:r>
        <w:rPr>
          <w:rFonts w:cs="Arial"/>
          <w:sz w:val="20"/>
          <w:szCs w:val="22"/>
          <w:lang w:val="es-ES"/>
        </w:rPr>
        <w:t xml:space="preserve"> añade: «Ahora sabemos dónde están las grandes palancas de CO</w:t>
      </w:r>
      <w:r>
        <w:rPr>
          <w:rFonts w:cs="Arial"/>
          <w:sz w:val="20"/>
          <w:szCs w:val="22"/>
          <w:vertAlign w:val="subscript"/>
          <w:lang w:val="es-ES"/>
        </w:rPr>
        <w:t>2</w:t>
      </w:r>
      <w:r>
        <w:rPr>
          <w:rFonts w:cs="Arial"/>
          <w:sz w:val="20"/>
          <w:szCs w:val="22"/>
          <w:lang w:val="es-ES"/>
        </w:rPr>
        <w:t xml:space="preserve"> a lo largo de todo el ciclo de vida de un producto; desde el abastecimiento de materias primas hasta la fabricación y el transporte al lugar de construcción, la fase de uso, la posterior recuperación y la fase de reciclaje al final de la vida útil de un producto. Aunque nuestro encofrado no permanezca en el edificio, sigue teniendo un impacto de CO</w:t>
      </w:r>
      <w:r>
        <w:rPr>
          <w:rFonts w:cs="Arial"/>
          <w:sz w:val="20"/>
          <w:szCs w:val="22"/>
          <w:vertAlign w:val="subscript"/>
          <w:lang w:val="es-ES"/>
        </w:rPr>
        <w:t>2</w:t>
      </w:r>
      <w:r>
        <w:rPr>
          <w:rFonts w:cs="Arial"/>
          <w:sz w:val="20"/>
          <w:szCs w:val="22"/>
          <w:lang w:val="es-ES"/>
        </w:rPr>
        <w:t xml:space="preserve"> en el lugar de construcción que los clientes quieren conocer. Ahora tenemos esta información y estamos reduciendo continuamente nuestra huella mediante el establecimiento de nuevas medidas a lo largo de toda la cadena de valor». En </w:t>
      </w:r>
      <w:proofErr w:type="spellStart"/>
      <w:r>
        <w:rPr>
          <w:rFonts w:cs="Arial"/>
          <w:sz w:val="20"/>
          <w:szCs w:val="22"/>
          <w:lang w:val="es-ES"/>
        </w:rPr>
        <w:t>bauma</w:t>
      </w:r>
      <w:proofErr w:type="spellEnd"/>
      <w:r>
        <w:rPr>
          <w:rFonts w:cs="Arial"/>
          <w:sz w:val="20"/>
          <w:szCs w:val="22"/>
          <w:lang w:val="es-ES"/>
        </w:rPr>
        <w:t xml:space="preserve"> 2022, </w:t>
      </w:r>
      <w:proofErr w:type="spellStart"/>
      <w:r>
        <w:rPr>
          <w:rFonts w:cs="Arial"/>
          <w:sz w:val="20"/>
          <w:szCs w:val="22"/>
          <w:lang w:val="es-ES"/>
        </w:rPr>
        <w:t>Doka</w:t>
      </w:r>
      <w:proofErr w:type="spellEnd"/>
      <w:r>
        <w:rPr>
          <w:rFonts w:cs="Arial"/>
          <w:sz w:val="20"/>
          <w:szCs w:val="22"/>
          <w:lang w:val="es-ES"/>
        </w:rPr>
        <w:t xml:space="preserve"> detallará la huella de carbono de gran parte de los productos expuestos. Además, los visitantes tendrán la oportunidad de conocer las iniciativas del Grupo </w:t>
      </w:r>
      <w:proofErr w:type="spellStart"/>
      <w:r>
        <w:rPr>
          <w:rFonts w:cs="Arial"/>
          <w:sz w:val="20"/>
          <w:szCs w:val="22"/>
          <w:lang w:val="es-ES"/>
        </w:rPr>
        <w:t>Umdasch</w:t>
      </w:r>
      <w:proofErr w:type="spellEnd"/>
      <w:r>
        <w:rPr>
          <w:rFonts w:cs="Arial"/>
          <w:sz w:val="20"/>
          <w:szCs w:val="22"/>
          <w:lang w:val="es-ES"/>
        </w:rPr>
        <w:t xml:space="preserve"> en su propio mostrador de sostenibilidad en el stand de </w:t>
      </w:r>
      <w:proofErr w:type="spellStart"/>
      <w:r>
        <w:rPr>
          <w:rFonts w:cs="Arial"/>
          <w:sz w:val="20"/>
          <w:szCs w:val="22"/>
          <w:lang w:val="es-ES"/>
        </w:rPr>
        <w:t>Doka</w:t>
      </w:r>
      <w:proofErr w:type="spellEnd"/>
      <w:r>
        <w:rPr>
          <w:rFonts w:cs="Arial"/>
          <w:sz w:val="20"/>
          <w:szCs w:val="22"/>
          <w:lang w:val="es-ES"/>
        </w:rPr>
        <w:t>.</w:t>
      </w:r>
    </w:p>
    <w:p w14:paraId="2ED04467" w14:textId="77777777" w:rsidR="008D5110" w:rsidRPr="004A7E76" w:rsidRDefault="008D5110">
      <w:pPr>
        <w:tabs>
          <w:tab w:val="left" w:pos="2835"/>
        </w:tabs>
        <w:spacing w:line="264" w:lineRule="auto"/>
        <w:contextualSpacing/>
        <w:jc w:val="both"/>
        <w:rPr>
          <w:rFonts w:cs="Arial"/>
          <w:sz w:val="20"/>
          <w:szCs w:val="22"/>
          <w:lang w:val="es-ES"/>
        </w:rPr>
      </w:pPr>
    </w:p>
    <w:p w14:paraId="06DCF492" w14:textId="77777777" w:rsidR="008D5110" w:rsidRPr="004A7E76" w:rsidRDefault="008D5110">
      <w:pPr>
        <w:tabs>
          <w:tab w:val="left" w:pos="2835"/>
        </w:tabs>
        <w:spacing w:line="264" w:lineRule="auto"/>
        <w:contextualSpacing/>
        <w:jc w:val="both"/>
        <w:rPr>
          <w:rFonts w:cs="Arial"/>
          <w:sz w:val="20"/>
          <w:szCs w:val="22"/>
          <w:lang w:val="es-ES"/>
        </w:rPr>
      </w:pPr>
    </w:p>
    <w:p w14:paraId="659F2DA6" w14:textId="77777777" w:rsidR="008D5110" w:rsidRPr="004A7E76" w:rsidRDefault="00AF4293">
      <w:pPr>
        <w:tabs>
          <w:tab w:val="left" w:pos="2835"/>
        </w:tabs>
        <w:spacing w:line="264" w:lineRule="auto"/>
        <w:contextualSpacing/>
        <w:rPr>
          <w:rFonts w:cs="Arial"/>
          <w:b/>
          <w:sz w:val="20"/>
          <w:szCs w:val="22"/>
          <w:lang w:val="es-ES"/>
        </w:rPr>
      </w:pPr>
      <w:proofErr w:type="spellStart"/>
      <w:r>
        <w:rPr>
          <w:rFonts w:cs="Arial"/>
          <w:b/>
          <w:sz w:val="20"/>
          <w:szCs w:val="22"/>
          <w:lang w:val="es-ES"/>
        </w:rPr>
        <w:t>Doka</w:t>
      </w:r>
      <w:proofErr w:type="spellEnd"/>
      <w:r>
        <w:rPr>
          <w:rFonts w:cs="Arial"/>
          <w:b/>
          <w:sz w:val="20"/>
          <w:szCs w:val="22"/>
          <w:lang w:val="es-ES"/>
        </w:rPr>
        <w:t xml:space="preserve"> en </w:t>
      </w:r>
      <w:proofErr w:type="spellStart"/>
      <w:r>
        <w:rPr>
          <w:rFonts w:cs="Arial"/>
          <w:b/>
          <w:sz w:val="20"/>
          <w:szCs w:val="22"/>
          <w:lang w:val="es-ES"/>
        </w:rPr>
        <w:t>bauma</w:t>
      </w:r>
      <w:proofErr w:type="spellEnd"/>
      <w:r>
        <w:rPr>
          <w:rFonts w:cs="Arial"/>
          <w:b/>
          <w:sz w:val="20"/>
          <w:szCs w:val="22"/>
          <w:lang w:val="es-ES"/>
        </w:rPr>
        <w:t xml:space="preserve"> 2022, del 24 al 30 de octubre de 2022.</w:t>
      </w:r>
    </w:p>
    <w:p w14:paraId="26A72461" w14:textId="77777777" w:rsidR="008D5110" w:rsidRPr="004A7E76" w:rsidRDefault="00AF4293">
      <w:pPr>
        <w:tabs>
          <w:tab w:val="left" w:pos="2835"/>
        </w:tabs>
        <w:spacing w:line="264" w:lineRule="auto"/>
        <w:contextualSpacing/>
        <w:rPr>
          <w:rFonts w:cs="Arial"/>
          <w:b/>
          <w:sz w:val="20"/>
          <w:szCs w:val="22"/>
          <w:lang w:val="es-ES"/>
        </w:rPr>
      </w:pPr>
      <w:r>
        <w:rPr>
          <w:rFonts w:cs="Arial"/>
          <w:b/>
          <w:sz w:val="20"/>
          <w:szCs w:val="22"/>
          <w:lang w:val="es-ES"/>
        </w:rPr>
        <w:t>Caseta FN.421 - FN.423, zona exterior norte/oeste, Feria de muestras de Múnich</w:t>
      </w:r>
    </w:p>
    <w:p w14:paraId="752B665E" w14:textId="77777777" w:rsidR="008D5110" w:rsidRPr="004A7E76" w:rsidRDefault="00AF4293">
      <w:pPr>
        <w:tabs>
          <w:tab w:val="left" w:pos="2835"/>
        </w:tabs>
        <w:spacing w:line="264" w:lineRule="auto"/>
        <w:contextualSpacing/>
        <w:rPr>
          <w:rFonts w:cs="Arial"/>
          <w:sz w:val="20"/>
          <w:szCs w:val="22"/>
          <w:lang w:val="es-ES"/>
        </w:rPr>
      </w:pPr>
      <w:r>
        <w:rPr>
          <w:rFonts w:cs="Arial"/>
          <w:b/>
          <w:sz w:val="20"/>
          <w:szCs w:val="22"/>
          <w:lang w:val="es-ES"/>
        </w:rPr>
        <w:t xml:space="preserve">Más información: </w:t>
      </w:r>
      <w:hyperlink r:id="rId12" w:history="1">
        <w:r>
          <w:rPr>
            <w:rStyle w:val="Hyperlink"/>
            <w:b/>
            <w:sz w:val="20"/>
            <w:szCs w:val="22"/>
            <w:lang w:val="es-ES"/>
          </w:rPr>
          <w:t>www.doka.com/bauma</w:t>
        </w:r>
      </w:hyperlink>
      <w:r>
        <w:rPr>
          <w:rFonts w:cs="Arial"/>
          <w:b/>
          <w:sz w:val="20"/>
          <w:szCs w:val="22"/>
          <w:lang w:val="es-ES"/>
        </w:rPr>
        <w:br/>
      </w:r>
    </w:p>
    <w:p w14:paraId="1D0308C8" w14:textId="77777777" w:rsidR="008D5110" w:rsidRPr="004A7E76" w:rsidRDefault="008D5110">
      <w:pPr>
        <w:tabs>
          <w:tab w:val="left" w:pos="2835"/>
        </w:tabs>
        <w:spacing w:line="264" w:lineRule="auto"/>
        <w:contextualSpacing/>
        <w:jc w:val="both"/>
        <w:rPr>
          <w:rFonts w:cs="Arial"/>
          <w:sz w:val="20"/>
          <w:szCs w:val="22"/>
          <w:lang w:val="es-ES"/>
        </w:rPr>
      </w:pPr>
    </w:p>
    <w:tbl>
      <w:tblPr>
        <w:tblW w:w="9570" w:type="dxa"/>
        <w:tblLayout w:type="fixed"/>
        <w:tblLook w:val="04A0" w:firstRow="1" w:lastRow="0" w:firstColumn="1" w:lastColumn="0" w:noHBand="0" w:noVBand="1"/>
      </w:tblPr>
      <w:tblGrid>
        <w:gridCol w:w="5495"/>
        <w:gridCol w:w="4075"/>
      </w:tblGrid>
      <w:tr w:rsidR="008D5110" w:rsidRPr="00F20341" w14:paraId="0AC35E21" w14:textId="77777777">
        <w:trPr>
          <w:trHeight w:val="136"/>
        </w:trPr>
        <w:tc>
          <w:tcPr>
            <w:tcW w:w="9570" w:type="dxa"/>
            <w:gridSpan w:val="2"/>
          </w:tcPr>
          <w:p w14:paraId="18749209" w14:textId="77777777" w:rsidR="008D5110" w:rsidRPr="004A7E76" w:rsidRDefault="008D5110">
            <w:pPr>
              <w:spacing w:line="276" w:lineRule="auto"/>
              <w:rPr>
                <w:b/>
                <w:sz w:val="20"/>
                <w:szCs w:val="16"/>
                <w:highlight w:val="yellow"/>
                <w:lang w:val="es-ES"/>
              </w:rPr>
            </w:pPr>
          </w:p>
          <w:p w14:paraId="4B1331A5" w14:textId="77777777" w:rsidR="008D5110" w:rsidRPr="004A7E76" w:rsidRDefault="00AF4293">
            <w:pPr>
              <w:spacing w:line="276" w:lineRule="auto"/>
              <w:rPr>
                <w:b/>
                <w:sz w:val="20"/>
                <w:szCs w:val="16"/>
                <w:lang w:val="es-ES"/>
              </w:rPr>
            </w:pPr>
            <w:r>
              <w:rPr>
                <w:b/>
                <w:sz w:val="20"/>
                <w:szCs w:val="16"/>
                <w:lang w:val="es-ES"/>
              </w:rPr>
              <w:t>Fotografías:</w:t>
            </w:r>
          </w:p>
          <w:p w14:paraId="3A6460A2" w14:textId="77777777" w:rsidR="008D5110" w:rsidRPr="004A7E76" w:rsidRDefault="00AF4293">
            <w:pPr>
              <w:spacing w:line="276" w:lineRule="auto"/>
              <w:rPr>
                <w:rFonts w:cs="Arial"/>
                <w:sz w:val="20"/>
                <w:szCs w:val="20"/>
                <w:lang w:val="es-ES"/>
              </w:rPr>
            </w:pPr>
            <w:r>
              <w:rPr>
                <w:sz w:val="20"/>
                <w:szCs w:val="16"/>
                <w:lang w:val="es-ES"/>
              </w:rPr>
              <w:t>Incluya los detalles de los derechos de autor para su publicación.</w:t>
            </w:r>
          </w:p>
          <w:p w14:paraId="37DBEA96" w14:textId="77777777" w:rsidR="008D5110" w:rsidRPr="004A7E76" w:rsidRDefault="008D5110">
            <w:pPr>
              <w:spacing w:line="276" w:lineRule="auto"/>
              <w:rPr>
                <w:sz w:val="16"/>
                <w:szCs w:val="16"/>
                <w:highlight w:val="yellow"/>
                <w:lang w:val="es-ES"/>
              </w:rPr>
            </w:pPr>
          </w:p>
        </w:tc>
      </w:tr>
      <w:tr w:rsidR="008D5110" w14:paraId="380902BA" w14:textId="77777777">
        <w:trPr>
          <w:trHeight w:val="1870"/>
        </w:trPr>
        <w:tc>
          <w:tcPr>
            <w:tcW w:w="5495" w:type="dxa"/>
          </w:tcPr>
          <w:p w14:paraId="03FEBF1B" w14:textId="77777777" w:rsidR="008D5110" w:rsidRDefault="00AF4293">
            <w:pPr>
              <w:spacing w:line="276" w:lineRule="auto"/>
              <w:rPr>
                <w:sz w:val="16"/>
                <w:szCs w:val="16"/>
                <w:lang w:val="en-US"/>
              </w:rPr>
            </w:pPr>
            <w:r>
              <w:rPr>
                <w:noProof/>
                <w:sz w:val="16"/>
                <w:szCs w:val="16"/>
                <w:lang w:val="de-DE" w:eastAsia="de-DE"/>
              </w:rPr>
              <w:drawing>
                <wp:inline distT="0" distB="0" distL="0" distR="0" wp14:anchorId="2CAC9803" wp14:editId="745087B3">
                  <wp:extent cx="1358265" cy="1813560"/>
                  <wp:effectExtent l="0" t="0" r="0" b="0"/>
                  <wp:docPr id="1" name="Grafik 1" descr="C:\Users\aweidin2\OneDrive - umdasch.com\Bauma 2022\Bilder\Portrait_Robert_Hauser_EVP_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C:\Users\aweidin2\OneDrive - umdasch.com\Bauma 2022\Bilder\Portrait_Robert_Hauser_EVP_1_WORD.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3747" cy="1821060"/>
                          </a:xfrm>
                          <a:prstGeom prst="rect">
                            <a:avLst/>
                          </a:prstGeom>
                          <a:noFill/>
                          <a:ln>
                            <a:noFill/>
                          </a:ln>
                        </pic:spPr>
                      </pic:pic>
                    </a:graphicData>
                  </a:graphic>
                </wp:inline>
              </w:drawing>
            </w:r>
          </w:p>
          <w:p w14:paraId="5EF61B3D" w14:textId="77777777" w:rsidR="008D5110" w:rsidRDefault="008D5110">
            <w:pPr>
              <w:spacing w:line="276" w:lineRule="auto"/>
              <w:rPr>
                <w:sz w:val="16"/>
                <w:szCs w:val="16"/>
                <w:lang w:val="en-US"/>
              </w:rPr>
            </w:pPr>
          </w:p>
        </w:tc>
        <w:tc>
          <w:tcPr>
            <w:tcW w:w="4075" w:type="dxa"/>
          </w:tcPr>
          <w:p w14:paraId="227FE85A" w14:textId="77777777" w:rsidR="008D5110" w:rsidRDefault="008D5110">
            <w:pPr>
              <w:spacing w:line="276" w:lineRule="auto"/>
              <w:rPr>
                <w:sz w:val="20"/>
                <w:szCs w:val="20"/>
                <w:highlight w:val="yellow"/>
                <w:lang w:val="en-US"/>
              </w:rPr>
            </w:pPr>
          </w:p>
          <w:p w14:paraId="20017B78" w14:textId="77777777" w:rsidR="008D5110" w:rsidRPr="004A7E76" w:rsidRDefault="00AF4293">
            <w:pPr>
              <w:spacing w:line="276" w:lineRule="auto"/>
              <w:rPr>
                <w:sz w:val="20"/>
                <w:szCs w:val="20"/>
                <w:lang w:val="de-DE"/>
              </w:rPr>
            </w:pPr>
            <w:r w:rsidRPr="004A7E76">
              <w:rPr>
                <w:sz w:val="20"/>
                <w:szCs w:val="20"/>
                <w:lang w:val="de-DE"/>
              </w:rPr>
              <w:t xml:space="preserve">Robert Hauser, </w:t>
            </w:r>
            <w:proofErr w:type="spellStart"/>
            <w:r w:rsidRPr="004A7E76">
              <w:rPr>
                <w:sz w:val="20"/>
                <w:szCs w:val="20"/>
                <w:lang w:val="de-DE"/>
              </w:rPr>
              <w:t>director</w:t>
            </w:r>
            <w:proofErr w:type="spellEnd"/>
            <w:r w:rsidRPr="004A7E76">
              <w:rPr>
                <w:sz w:val="20"/>
                <w:szCs w:val="20"/>
                <w:lang w:val="de-DE"/>
              </w:rPr>
              <w:t xml:space="preserve"> </w:t>
            </w:r>
            <w:proofErr w:type="spellStart"/>
            <w:r w:rsidRPr="004A7E76">
              <w:rPr>
                <w:sz w:val="20"/>
                <w:szCs w:val="20"/>
                <w:lang w:val="de-DE"/>
              </w:rPr>
              <w:t>general</w:t>
            </w:r>
            <w:proofErr w:type="spellEnd"/>
            <w:r w:rsidRPr="004A7E76">
              <w:rPr>
                <w:sz w:val="20"/>
                <w:szCs w:val="20"/>
                <w:lang w:val="de-DE"/>
              </w:rPr>
              <w:t xml:space="preserve"> de </w:t>
            </w:r>
            <w:proofErr w:type="spellStart"/>
            <w:r w:rsidRPr="004A7E76">
              <w:rPr>
                <w:sz w:val="20"/>
                <w:szCs w:val="20"/>
                <w:lang w:val="de-DE"/>
              </w:rPr>
              <w:t>Doka</w:t>
            </w:r>
            <w:proofErr w:type="spellEnd"/>
          </w:p>
          <w:p w14:paraId="73EA7BF7" w14:textId="77777777" w:rsidR="008D5110" w:rsidRPr="004A7E76" w:rsidRDefault="008D5110">
            <w:pPr>
              <w:spacing w:line="276" w:lineRule="auto"/>
              <w:rPr>
                <w:sz w:val="20"/>
                <w:szCs w:val="20"/>
                <w:lang w:val="de-DE"/>
              </w:rPr>
            </w:pPr>
          </w:p>
          <w:p w14:paraId="05A2969D" w14:textId="77777777" w:rsidR="008D5110" w:rsidRPr="004A7E76" w:rsidRDefault="00AF4293">
            <w:pPr>
              <w:spacing w:line="276" w:lineRule="auto"/>
              <w:rPr>
                <w:sz w:val="20"/>
                <w:szCs w:val="20"/>
                <w:lang w:val="de-DE"/>
              </w:rPr>
            </w:pPr>
            <w:proofErr w:type="spellStart"/>
            <w:r w:rsidRPr="004A7E76">
              <w:rPr>
                <w:sz w:val="20"/>
                <w:szCs w:val="20"/>
                <w:lang w:val="de-DE"/>
              </w:rPr>
              <w:t>Fotografía</w:t>
            </w:r>
            <w:proofErr w:type="spellEnd"/>
            <w:r w:rsidRPr="004A7E76">
              <w:rPr>
                <w:sz w:val="20"/>
                <w:szCs w:val="20"/>
                <w:lang w:val="de-DE"/>
              </w:rPr>
              <w:t>: Portrait_Robert_Hauser_EVP_1.jpg</w:t>
            </w:r>
          </w:p>
          <w:p w14:paraId="4978BD75" w14:textId="77777777" w:rsidR="008D5110" w:rsidRDefault="00AF4293">
            <w:pPr>
              <w:spacing w:line="276" w:lineRule="auto"/>
              <w:rPr>
                <w:rFonts w:cs="Arial"/>
                <w:sz w:val="20"/>
                <w:szCs w:val="22"/>
                <w:lang w:val="en-US"/>
              </w:rPr>
            </w:pPr>
            <w:r>
              <w:rPr>
                <w:sz w:val="20"/>
                <w:szCs w:val="20"/>
                <w:lang w:val="es-ES"/>
              </w:rPr>
              <w:t xml:space="preserve">Derechos de autor: </w:t>
            </w:r>
            <w:proofErr w:type="spellStart"/>
            <w:r>
              <w:rPr>
                <w:sz w:val="20"/>
                <w:szCs w:val="20"/>
                <w:lang w:val="es-ES"/>
              </w:rPr>
              <w:t>Doka</w:t>
            </w:r>
            <w:proofErr w:type="spellEnd"/>
          </w:p>
        </w:tc>
      </w:tr>
      <w:tr w:rsidR="008D5110" w:rsidRPr="00F20341" w14:paraId="49239578" w14:textId="77777777">
        <w:trPr>
          <w:trHeight w:val="1870"/>
        </w:trPr>
        <w:tc>
          <w:tcPr>
            <w:tcW w:w="5495" w:type="dxa"/>
          </w:tcPr>
          <w:p w14:paraId="4CBA6F83" w14:textId="77777777" w:rsidR="008D5110" w:rsidRDefault="00AF4293">
            <w:pPr>
              <w:spacing w:line="276" w:lineRule="auto"/>
              <w:rPr>
                <w:sz w:val="16"/>
                <w:szCs w:val="16"/>
                <w:lang w:val="de-DE" w:eastAsia="de-DE"/>
              </w:rPr>
            </w:pPr>
            <w:r>
              <w:rPr>
                <w:noProof/>
                <w:sz w:val="16"/>
                <w:szCs w:val="16"/>
                <w:lang w:val="de-DE" w:eastAsia="de-DE"/>
              </w:rPr>
              <w:lastRenderedPageBreak/>
              <w:drawing>
                <wp:inline distT="0" distB="0" distL="0" distR="0" wp14:anchorId="5072CB59" wp14:editId="5EEFEFC5">
                  <wp:extent cx="1347470" cy="2022475"/>
                  <wp:effectExtent l="0" t="0" r="5080" b="0"/>
                  <wp:docPr id="11" name="Grafik 11" descr="C:\Users\aweidin2\OneDrive - umdasch.com\Bauma 2022\Bilder\Cover_Walsgrave 1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C:\Users\aweidin2\OneDrive - umdasch.com\Bauma 2022\Bilder\Cover_Walsgrave 1_WORD.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a:xfrm>
                            <a:off x="0" y="0"/>
                            <a:ext cx="1378264" cy="2068737"/>
                          </a:xfrm>
                          <a:prstGeom prst="rect">
                            <a:avLst/>
                          </a:prstGeom>
                          <a:noFill/>
                          <a:ln>
                            <a:noFill/>
                          </a:ln>
                        </pic:spPr>
                      </pic:pic>
                    </a:graphicData>
                  </a:graphic>
                </wp:inline>
              </w:drawing>
            </w:r>
          </w:p>
        </w:tc>
        <w:tc>
          <w:tcPr>
            <w:tcW w:w="4075" w:type="dxa"/>
          </w:tcPr>
          <w:p w14:paraId="2754DB8B" w14:textId="77777777" w:rsidR="008D5110" w:rsidRDefault="008D5110">
            <w:pPr>
              <w:spacing w:line="276" w:lineRule="auto"/>
              <w:rPr>
                <w:sz w:val="20"/>
                <w:szCs w:val="20"/>
                <w:lang w:val="en-US"/>
              </w:rPr>
            </w:pPr>
          </w:p>
          <w:p w14:paraId="7D772CFF" w14:textId="77777777" w:rsidR="008D5110" w:rsidRPr="004A7E76" w:rsidRDefault="00AF4293">
            <w:pPr>
              <w:spacing w:line="276" w:lineRule="auto"/>
              <w:rPr>
                <w:sz w:val="20"/>
                <w:szCs w:val="20"/>
                <w:lang w:val="es-ES"/>
              </w:rPr>
            </w:pPr>
            <w:r>
              <w:rPr>
                <w:sz w:val="20"/>
                <w:szCs w:val="20"/>
                <w:lang w:val="es-ES"/>
              </w:rPr>
              <w:t xml:space="preserve">En </w:t>
            </w:r>
            <w:proofErr w:type="spellStart"/>
            <w:r>
              <w:rPr>
                <w:sz w:val="20"/>
                <w:szCs w:val="20"/>
                <w:lang w:val="es-ES"/>
              </w:rPr>
              <w:t>bauma</w:t>
            </w:r>
            <w:proofErr w:type="spellEnd"/>
            <w:r>
              <w:rPr>
                <w:sz w:val="20"/>
                <w:szCs w:val="20"/>
                <w:lang w:val="es-ES"/>
              </w:rPr>
              <w:t xml:space="preserve">, </w:t>
            </w:r>
            <w:proofErr w:type="spellStart"/>
            <w:r>
              <w:rPr>
                <w:sz w:val="20"/>
                <w:szCs w:val="20"/>
                <w:lang w:val="es-ES"/>
              </w:rPr>
              <w:t>Doka</w:t>
            </w:r>
            <w:proofErr w:type="spellEnd"/>
            <w:r>
              <w:rPr>
                <w:sz w:val="20"/>
                <w:szCs w:val="20"/>
                <w:lang w:val="es-ES"/>
              </w:rPr>
              <w:t xml:space="preserve"> presentará el andamio </w:t>
            </w:r>
            <w:proofErr w:type="spellStart"/>
            <w:r>
              <w:rPr>
                <w:sz w:val="20"/>
                <w:szCs w:val="20"/>
                <w:lang w:val="es-ES"/>
              </w:rPr>
              <w:t>Ringlock</w:t>
            </w:r>
            <w:proofErr w:type="spellEnd"/>
            <w:r>
              <w:rPr>
                <w:sz w:val="20"/>
                <w:szCs w:val="20"/>
                <w:lang w:val="es-ES"/>
              </w:rPr>
              <w:t xml:space="preserve">, con certificación </w:t>
            </w:r>
            <w:proofErr w:type="spellStart"/>
            <w:r>
              <w:rPr>
                <w:sz w:val="20"/>
                <w:szCs w:val="20"/>
                <w:lang w:val="es-ES"/>
              </w:rPr>
              <w:t>DIBt</w:t>
            </w:r>
            <w:proofErr w:type="spellEnd"/>
            <w:r>
              <w:rPr>
                <w:sz w:val="20"/>
                <w:szCs w:val="20"/>
                <w:lang w:val="es-ES"/>
              </w:rPr>
              <w:t xml:space="preserve">, bajo la marca AT-PAC. </w:t>
            </w:r>
          </w:p>
          <w:p w14:paraId="60063A1B" w14:textId="77777777" w:rsidR="008D5110" w:rsidRPr="004A7E76" w:rsidRDefault="00AF4293">
            <w:pPr>
              <w:spacing w:line="276" w:lineRule="auto"/>
              <w:rPr>
                <w:sz w:val="20"/>
                <w:szCs w:val="20"/>
                <w:lang w:val="es-ES"/>
              </w:rPr>
            </w:pPr>
            <w:r w:rsidRPr="004A7E76">
              <w:rPr>
                <w:sz w:val="20"/>
                <w:szCs w:val="20"/>
                <w:lang w:val="es-ES"/>
              </w:rPr>
              <w:t xml:space="preserve"> </w:t>
            </w:r>
          </w:p>
          <w:p w14:paraId="69F0073B" w14:textId="77777777" w:rsidR="008D5110" w:rsidRPr="004A7E76" w:rsidRDefault="00AF4293">
            <w:pPr>
              <w:spacing w:line="276" w:lineRule="auto"/>
              <w:rPr>
                <w:sz w:val="20"/>
                <w:szCs w:val="20"/>
                <w:lang w:val="es-ES"/>
              </w:rPr>
            </w:pPr>
            <w:r>
              <w:rPr>
                <w:sz w:val="20"/>
                <w:szCs w:val="20"/>
                <w:lang w:val="es-ES"/>
              </w:rPr>
              <w:t xml:space="preserve">Fotografía: </w:t>
            </w:r>
            <w:proofErr w:type="spellStart"/>
            <w:r>
              <w:rPr>
                <w:sz w:val="20"/>
                <w:szCs w:val="20"/>
                <w:lang w:val="es-ES"/>
              </w:rPr>
              <w:t>Cover_Walsgrave</w:t>
            </w:r>
            <w:proofErr w:type="spellEnd"/>
            <w:r>
              <w:rPr>
                <w:sz w:val="20"/>
                <w:szCs w:val="20"/>
                <w:lang w:val="es-ES"/>
              </w:rPr>
              <w:t xml:space="preserve"> 1.jpg</w:t>
            </w:r>
          </w:p>
          <w:p w14:paraId="38525214" w14:textId="77777777" w:rsidR="008D5110" w:rsidRPr="004A7E76" w:rsidRDefault="00AF4293">
            <w:pPr>
              <w:spacing w:line="276" w:lineRule="auto"/>
              <w:rPr>
                <w:sz w:val="20"/>
                <w:szCs w:val="20"/>
                <w:highlight w:val="yellow"/>
                <w:lang w:val="es-ES"/>
              </w:rPr>
            </w:pPr>
            <w:r>
              <w:rPr>
                <w:sz w:val="20"/>
                <w:szCs w:val="20"/>
                <w:shd w:val="clear" w:color="auto" w:fill="FFFFFF" w:themeFill="background1"/>
                <w:lang w:val="es-ES"/>
              </w:rPr>
              <w:t xml:space="preserve">Derechos de autor: </w:t>
            </w:r>
            <w:proofErr w:type="spellStart"/>
            <w:r>
              <w:rPr>
                <w:sz w:val="20"/>
                <w:szCs w:val="20"/>
                <w:shd w:val="clear" w:color="auto" w:fill="FFFFFF" w:themeFill="background1"/>
                <w:lang w:val="es-ES"/>
              </w:rPr>
              <w:t>Doka</w:t>
            </w:r>
            <w:proofErr w:type="spellEnd"/>
          </w:p>
        </w:tc>
      </w:tr>
      <w:tr w:rsidR="008D5110" w14:paraId="626BCB52" w14:textId="77777777">
        <w:trPr>
          <w:trHeight w:val="1870"/>
        </w:trPr>
        <w:tc>
          <w:tcPr>
            <w:tcW w:w="5495" w:type="dxa"/>
          </w:tcPr>
          <w:p w14:paraId="7529EC04" w14:textId="77777777" w:rsidR="008D5110" w:rsidRPr="004A7E76" w:rsidRDefault="008D5110">
            <w:pPr>
              <w:spacing w:line="276" w:lineRule="auto"/>
              <w:rPr>
                <w:sz w:val="16"/>
                <w:szCs w:val="16"/>
                <w:lang w:val="es-ES"/>
              </w:rPr>
            </w:pPr>
          </w:p>
          <w:p w14:paraId="645043F8" w14:textId="77777777" w:rsidR="008D5110" w:rsidRPr="004A7E76" w:rsidRDefault="008D5110">
            <w:pPr>
              <w:spacing w:line="276" w:lineRule="auto"/>
              <w:rPr>
                <w:sz w:val="16"/>
                <w:szCs w:val="16"/>
                <w:lang w:val="es-ES"/>
              </w:rPr>
            </w:pPr>
          </w:p>
          <w:p w14:paraId="764C7E4C" w14:textId="77777777" w:rsidR="008D5110" w:rsidRDefault="00AF4293">
            <w:pPr>
              <w:spacing w:line="276" w:lineRule="auto"/>
              <w:rPr>
                <w:sz w:val="16"/>
                <w:szCs w:val="16"/>
                <w:lang w:val="en-US"/>
              </w:rPr>
            </w:pPr>
            <w:r>
              <w:rPr>
                <w:noProof/>
                <w:sz w:val="16"/>
                <w:szCs w:val="16"/>
                <w:lang w:val="de-DE" w:eastAsia="de-DE"/>
              </w:rPr>
              <w:drawing>
                <wp:inline distT="0" distB="0" distL="0" distR="0" wp14:anchorId="35CE3B9F" wp14:editId="43D2218C">
                  <wp:extent cx="1847850" cy="1390650"/>
                  <wp:effectExtent l="0" t="0" r="0" b="0"/>
                  <wp:docPr id="5" name="Grafik 5" descr="C:\Users\aweidin2\OneDrive - umdasch.com\Bauma 2022\Bilder\Framax Xlife plus 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C:\Users\aweidin2\OneDrive - umdasch.com\Bauma 2022\Bilder\Framax Xlife plus WORD.jp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a:xfrm>
                            <a:off x="0" y="0"/>
                            <a:ext cx="1891228" cy="1423598"/>
                          </a:xfrm>
                          <a:prstGeom prst="rect">
                            <a:avLst/>
                          </a:prstGeom>
                          <a:noFill/>
                          <a:ln>
                            <a:noFill/>
                          </a:ln>
                        </pic:spPr>
                      </pic:pic>
                    </a:graphicData>
                  </a:graphic>
                </wp:inline>
              </w:drawing>
            </w:r>
          </w:p>
        </w:tc>
        <w:tc>
          <w:tcPr>
            <w:tcW w:w="4075" w:type="dxa"/>
          </w:tcPr>
          <w:p w14:paraId="6F961774" w14:textId="77777777" w:rsidR="008D5110" w:rsidRDefault="008D5110">
            <w:pPr>
              <w:spacing w:line="276" w:lineRule="auto"/>
              <w:rPr>
                <w:sz w:val="20"/>
                <w:szCs w:val="20"/>
                <w:lang w:val="en-US"/>
              </w:rPr>
            </w:pPr>
          </w:p>
          <w:p w14:paraId="6C0EA211" w14:textId="77777777" w:rsidR="008D5110" w:rsidRPr="004A7E76" w:rsidRDefault="00AF4293">
            <w:pPr>
              <w:spacing w:line="276" w:lineRule="auto"/>
              <w:ind w:left="211"/>
              <w:rPr>
                <w:sz w:val="20"/>
                <w:lang w:val="es-ES"/>
              </w:rPr>
            </w:pPr>
            <w:r>
              <w:rPr>
                <w:sz w:val="20"/>
                <w:lang w:val="es-ES"/>
              </w:rPr>
              <w:t xml:space="preserve">Con la nueva altura de panel de 3 m de la </w:t>
            </w:r>
            <w:proofErr w:type="spellStart"/>
            <w:r>
              <w:rPr>
                <w:sz w:val="20"/>
                <w:lang w:val="es-ES"/>
              </w:rPr>
              <w:t>Framax</w:t>
            </w:r>
            <w:proofErr w:type="spellEnd"/>
            <w:r>
              <w:rPr>
                <w:sz w:val="20"/>
                <w:lang w:val="es-ES"/>
              </w:rPr>
              <w:t xml:space="preserve"> </w:t>
            </w:r>
            <w:proofErr w:type="spellStart"/>
            <w:r>
              <w:rPr>
                <w:sz w:val="20"/>
                <w:lang w:val="es-ES"/>
              </w:rPr>
              <w:t>Xlife</w:t>
            </w:r>
            <w:proofErr w:type="spellEnd"/>
            <w:r>
              <w:rPr>
                <w:sz w:val="20"/>
                <w:lang w:val="es-ES"/>
              </w:rPr>
              <w:t xml:space="preserve"> plus se pueden encofrar paredes en la construcción de viviendas de forma aún más económica. </w:t>
            </w:r>
          </w:p>
          <w:p w14:paraId="086C59CB" w14:textId="77777777" w:rsidR="008D5110" w:rsidRPr="004A7E76" w:rsidRDefault="008D5110">
            <w:pPr>
              <w:spacing w:line="276" w:lineRule="auto"/>
              <w:ind w:left="211"/>
              <w:rPr>
                <w:sz w:val="20"/>
                <w:szCs w:val="20"/>
                <w:lang w:val="es-ES"/>
              </w:rPr>
            </w:pPr>
          </w:p>
          <w:p w14:paraId="3FBD7EB6" w14:textId="77777777" w:rsidR="008D5110" w:rsidRPr="004A7E76" w:rsidRDefault="00AF4293">
            <w:pPr>
              <w:spacing w:line="276" w:lineRule="auto"/>
              <w:ind w:left="211"/>
              <w:rPr>
                <w:sz w:val="20"/>
                <w:szCs w:val="20"/>
                <w:lang w:val="es-ES"/>
              </w:rPr>
            </w:pPr>
            <w:r>
              <w:rPr>
                <w:sz w:val="20"/>
                <w:szCs w:val="20"/>
                <w:lang w:val="es-ES"/>
              </w:rPr>
              <w:t xml:space="preserve">Fotografía: </w:t>
            </w:r>
            <w:proofErr w:type="spellStart"/>
            <w:r>
              <w:rPr>
                <w:sz w:val="20"/>
                <w:szCs w:val="20"/>
                <w:lang w:val="es-ES"/>
              </w:rPr>
              <w:t>Framax</w:t>
            </w:r>
            <w:proofErr w:type="spellEnd"/>
            <w:r>
              <w:rPr>
                <w:sz w:val="20"/>
                <w:szCs w:val="20"/>
                <w:lang w:val="es-ES"/>
              </w:rPr>
              <w:t xml:space="preserve"> </w:t>
            </w:r>
            <w:proofErr w:type="spellStart"/>
            <w:r>
              <w:rPr>
                <w:sz w:val="20"/>
                <w:szCs w:val="20"/>
                <w:lang w:val="es-ES"/>
              </w:rPr>
              <w:t>Xlife</w:t>
            </w:r>
            <w:proofErr w:type="spellEnd"/>
            <w:r>
              <w:rPr>
                <w:sz w:val="20"/>
                <w:szCs w:val="20"/>
                <w:lang w:val="es-ES"/>
              </w:rPr>
              <w:t xml:space="preserve"> plus_3m©Doka.jpg.jpg</w:t>
            </w:r>
          </w:p>
          <w:p w14:paraId="63B2EE45" w14:textId="77777777" w:rsidR="008D5110" w:rsidRDefault="00AF4293">
            <w:pPr>
              <w:spacing w:line="276" w:lineRule="auto"/>
              <w:ind w:left="211"/>
              <w:rPr>
                <w:sz w:val="20"/>
                <w:szCs w:val="20"/>
                <w:highlight w:val="yellow"/>
                <w:lang w:val="en-US"/>
              </w:rPr>
            </w:pPr>
            <w:r>
              <w:rPr>
                <w:sz w:val="20"/>
                <w:szCs w:val="20"/>
                <w:lang w:val="es-ES"/>
              </w:rPr>
              <w:t xml:space="preserve">Derechos de autor: </w:t>
            </w:r>
            <w:proofErr w:type="spellStart"/>
            <w:r>
              <w:rPr>
                <w:sz w:val="20"/>
                <w:szCs w:val="20"/>
                <w:lang w:val="es-ES"/>
              </w:rPr>
              <w:t>Doka</w:t>
            </w:r>
            <w:proofErr w:type="spellEnd"/>
          </w:p>
        </w:tc>
      </w:tr>
    </w:tbl>
    <w:p w14:paraId="5C63E519" w14:textId="77777777" w:rsidR="008D5110" w:rsidRDefault="008D5110">
      <w:pPr>
        <w:rPr>
          <w:b/>
          <w:sz w:val="20"/>
          <w:szCs w:val="20"/>
          <w:lang w:val="en-US"/>
        </w:rPr>
      </w:pPr>
    </w:p>
    <w:tbl>
      <w:tblPr>
        <w:tblW w:w="0" w:type="auto"/>
        <w:tblLook w:val="04A0" w:firstRow="1" w:lastRow="0" w:firstColumn="1" w:lastColumn="0" w:noHBand="0" w:noVBand="1"/>
      </w:tblPr>
      <w:tblGrid>
        <w:gridCol w:w="5676"/>
        <w:gridCol w:w="3678"/>
      </w:tblGrid>
      <w:tr w:rsidR="008D5110" w:rsidRPr="00F20341" w14:paraId="546BE939" w14:textId="77777777">
        <w:trPr>
          <w:trHeight w:val="1640"/>
        </w:trPr>
        <w:tc>
          <w:tcPr>
            <w:tcW w:w="5796" w:type="dxa"/>
          </w:tcPr>
          <w:p w14:paraId="7F58E7E4" w14:textId="77777777" w:rsidR="008D5110" w:rsidRDefault="008D5110">
            <w:pPr>
              <w:spacing w:line="276" w:lineRule="auto"/>
              <w:rPr>
                <w:sz w:val="16"/>
                <w:szCs w:val="16"/>
                <w:lang w:val="en-US"/>
              </w:rPr>
            </w:pPr>
          </w:p>
          <w:p w14:paraId="10C500AE" w14:textId="77777777" w:rsidR="008D5110" w:rsidRDefault="00AF4293">
            <w:pPr>
              <w:spacing w:line="276" w:lineRule="auto"/>
              <w:rPr>
                <w:sz w:val="16"/>
                <w:szCs w:val="16"/>
                <w:lang w:val="en-US"/>
              </w:rPr>
            </w:pPr>
            <w:r>
              <w:rPr>
                <w:noProof/>
                <w:sz w:val="16"/>
                <w:szCs w:val="16"/>
                <w:lang w:val="de-DE" w:eastAsia="de-DE"/>
              </w:rPr>
              <w:drawing>
                <wp:inline distT="0" distB="0" distL="0" distR="0" wp14:anchorId="6F5DC914" wp14:editId="7BF80091">
                  <wp:extent cx="1772920" cy="1329055"/>
                  <wp:effectExtent l="0" t="0" r="0" b="4445"/>
                  <wp:docPr id="3" name="Grafik 3" descr="C:\Users\aweidin2\OneDrive - umdasch.com\Bauma 2022\Bilder\unikit-02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C:\Users\aweidin2\OneDrive - umdasch.com\Bauma 2022\Bilder\unikit-02_WORD.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90000" cy="1342300"/>
                          </a:xfrm>
                          <a:prstGeom prst="rect">
                            <a:avLst/>
                          </a:prstGeom>
                          <a:noFill/>
                          <a:ln>
                            <a:noFill/>
                          </a:ln>
                        </pic:spPr>
                      </pic:pic>
                    </a:graphicData>
                  </a:graphic>
                </wp:inline>
              </w:drawing>
            </w:r>
          </w:p>
        </w:tc>
        <w:tc>
          <w:tcPr>
            <w:tcW w:w="3774" w:type="dxa"/>
          </w:tcPr>
          <w:p w14:paraId="70B7C795" w14:textId="77777777" w:rsidR="008D5110" w:rsidRDefault="008D5110">
            <w:pPr>
              <w:spacing w:line="276" w:lineRule="auto"/>
              <w:rPr>
                <w:sz w:val="20"/>
                <w:szCs w:val="20"/>
                <w:lang w:val="en-US"/>
              </w:rPr>
            </w:pPr>
          </w:p>
          <w:p w14:paraId="55709E0E" w14:textId="2993DD04" w:rsidR="008D5110" w:rsidRPr="004A7E76" w:rsidRDefault="00AF4293">
            <w:pPr>
              <w:spacing w:line="276" w:lineRule="auto"/>
              <w:rPr>
                <w:sz w:val="20"/>
                <w:szCs w:val="20"/>
                <w:lang w:val="es-ES"/>
              </w:rPr>
            </w:pPr>
            <w:r>
              <w:rPr>
                <w:sz w:val="20"/>
                <w:szCs w:val="20"/>
                <w:lang w:val="es-ES"/>
              </w:rPr>
              <w:t xml:space="preserve">Para la construcción del puente </w:t>
            </w:r>
            <w:proofErr w:type="spellStart"/>
            <w:r>
              <w:rPr>
                <w:sz w:val="20"/>
                <w:szCs w:val="20"/>
                <w:lang w:val="es-ES"/>
              </w:rPr>
              <w:t>Dumanja</w:t>
            </w:r>
            <w:proofErr w:type="spellEnd"/>
            <w:r>
              <w:rPr>
                <w:sz w:val="20"/>
                <w:szCs w:val="20"/>
                <w:lang w:val="es-ES"/>
              </w:rPr>
              <w:t xml:space="preserve"> </w:t>
            </w:r>
            <w:proofErr w:type="spellStart"/>
            <w:r>
              <w:rPr>
                <w:sz w:val="20"/>
                <w:szCs w:val="20"/>
                <w:lang w:val="es-ES"/>
              </w:rPr>
              <w:t>Jaruga</w:t>
            </w:r>
            <w:proofErr w:type="spellEnd"/>
            <w:r>
              <w:rPr>
                <w:sz w:val="20"/>
                <w:szCs w:val="20"/>
                <w:lang w:val="es-ES"/>
              </w:rPr>
              <w:t xml:space="preserve"> en Croacia, </w:t>
            </w:r>
            <w:proofErr w:type="spellStart"/>
            <w:r>
              <w:rPr>
                <w:sz w:val="20"/>
                <w:szCs w:val="20"/>
                <w:lang w:val="es-ES"/>
              </w:rPr>
              <w:t>Doka</w:t>
            </w:r>
            <w:proofErr w:type="spellEnd"/>
            <w:r>
              <w:rPr>
                <w:sz w:val="20"/>
                <w:szCs w:val="20"/>
                <w:lang w:val="es-ES"/>
              </w:rPr>
              <w:t xml:space="preserve"> suministró un paquete completo sin</w:t>
            </w:r>
            <w:r w:rsidR="0069570F">
              <w:rPr>
                <w:sz w:val="20"/>
                <w:szCs w:val="20"/>
                <w:lang w:val="es-ES"/>
              </w:rPr>
              <w:t xml:space="preserve"> intermediarios</w:t>
            </w:r>
            <w:r>
              <w:rPr>
                <w:sz w:val="20"/>
                <w:szCs w:val="20"/>
                <w:lang w:val="es-ES"/>
              </w:rPr>
              <w:t xml:space="preserve">, de un solo proveedor, incluyendo soluciones de carga del kit de construcción </w:t>
            </w:r>
            <w:proofErr w:type="spellStart"/>
            <w:r>
              <w:rPr>
                <w:sz w:val="20"/>
                <w:szCs w:val="20"/>
                <w:lang w:val="es-ES"/>
              </w:rPr>
              <w:t>UniKit</w:t>
            </w:r>
            <w:proofErr w:type="spellEnd"/>
            <w:r>
              <w:rPr>
                <w:sz w:val="20"/>
                <w:szCs w:val="20"/>
                <w:lang w:val="es-ES"/>
              </w:rPr>
              <w:t>.</w:t>
            </w:r>
          </w:p>
          <w:p w14:paraId="5C6C73E6" w14:textId="77777777" w:rsidR="008D5110" w:rsidRPr="004A7E76" w:rsidRDefault="008D5110">
            <w:pPr>
              <w:spacing w:line="276" w:lineRule="auto"/>
              <w:rPr>
                <w:sz w:val="20"/>
                <w:szCs w:val="20"/>
                <w:lang w:val="es-ES"/>
              </w:rPr>
            </w:pPr>
          </w:p>
          <w:p w14:paraId="47A71F36" w14:textId="77777777" w:rsidR="008D5110" w:rsidRPr="004A7E76" w:rsidRDefault="00AF4293">
            <w:pPr>
              <w:spacing w:line="276" w:lineRule="auto"/>
              <w:rPr>
                <w:sz w:val="20"/>
                <w:szCs w:val="20"/>
                <w:lang w:val="es-ES"/>
              </w:rPr>
            </w:pPr>
            <w:r>
              <w:rPr>
                <w:sz w:val="20"/>
                <w:szCs w:val="20"/>
                <w:lang w:val="es-ES"/>
              </w:rPr>
              <w:t>Fotografía: unikit-02.jpg</w:t>
            </w:r>
          </w:p>
          <w:p w14:paraId="71654098" w14:textId="77777777" w:rsidR="008D5110" w:rsidRPr="004A7E76" w:rsidRDefault="00AF4293">
            <w:pPr>
              <w:spacing w:line="276" w:lineRule="auto"/>
              <w:rPr>
                <w:rFonts w:cs="Arial"/>
                <w:sz w:val="20"/>
                <w:szCs w:val="22"/>
                <w:lang w:val="es-ES"/>
              </w:rPr>
            </w:pPr>
            <w:r>
              <w:rPr>
                <w:sz w:val="20"/>
                <w:szCs w:val="20"/>
                <w:lang w:val="es-ES"/>
              </w:rPr>
              <w:t xml:space="preserve">Derechos de autor: </w:t>
            </w:r>
            <w:proofErr w:type="spellStart"/>
            <w:r>
              <w:rPr>
                <w:sz w:val="20"/>
                <w:szCs w:val="20"/>
                <w:lang w:val="es-ES"/>
              </w:rPr>
              <w:t>Doka</w:t>
            </w:r>
            <w:proofErr w:type="spellEnd"/>
          </w:p>
        </w:tc>
      </w:tr>
    </w:tbl>
    <w:p w14:paraId="4ADF2006" w14:textId="77777777" w:rsidR="008D5110" w:rsidRPr="004A7E76" w:rsidRDefault="008D5110">
      <w:pPr>
        <w:rPr>
          <w:b/>
          <w:sz w:val="20"/>
          <w:szCs w:val="20"/>
          <w:lang w:val="es-ES"/>
        </w:rPr>
      </w:pPr>
    </w:p>
    <w:tbl>
      <w:tblPr>
        <w:tblW w:w="0" w:type="auto"/>
        <w:tblLook w:val="04A0" w:firstRow="1" w:lastRow="0" w:firstColumn="1" w:lastColumn="0" w:noHBand="0" w:noVBand="1"/>
      </w:tblPr>
      <w:tblGrid>
        <w:gridCol w:w="5669"/>
        <w:gridCol w:w="3685"/>
      </w:tblGrid>
      <w:tr w:rsidR="008D5110" w:rsidRPr="00F20341" w14:paraId="4F4D73CD" w14:textId="77777777">
        <w:trPr>
          <w:trHeight w:val="1503"/>
        </w:trPr>
        <w:tc>
          <w:tcPr>
            <w:tcW w:w="5796" w:type="dxa"/>
          </w:tcPr>
          <w:p w14:paraId="6CDC6ABB" w14:textId="77777777" w:rsidR="008D5110" w:rsidRPr="004A7E76" w:rsidRDefault="008D5110">
            <w:pPr>
              <w:spacing w:line="276" w:lineRule="auto"/>
              <w:rPr>
                <w:sz w:val="16"/>
                <w:szCs w:val="16"/>
                <w:lang w:val="es-ES"/>
              </w:rPr>
            </w:pPr>
          </w:p>
          <w:p w14:paraId="5EF77EFE" w14:textId="77777777" w:rsidR="008D5110" w:rsidRDefault="00AF4293">
            <w:pPr>
              <w:spacing w:line="276" w:lineRule="auto"/>
              <w:rPr>
                <w:sz w:val="16"/>
                <w:szCs w:val="16"/>
                <w:lang w:val="en-US"/>
              </w:rPr>
            </w:pPr>
            <w:r>
              <w:rPr>
                <w:noProof/>
                <w:sz w:val="16"/>
                <w:szCs w:val="16"/>
                <w:lang w:val="de-DE" w:eastAsia="de-DE"/>
              </w:rPr>
              <w:lastRenderedPageBreak/>
              <w:drawing>
                <wp:inline distT="0" distB="0" distL="0" distR="0" wp14:anchorId="743AC810" wp14:editId="0E1A04BA">
                  <wp:extent cx="1436370" cy="2164080"/>
                  <wp:effectExtent l="0" t="0" r="0" b="7620"/>
                  <wp:docPr id="7" name="Grafik 7" descr="C:\Users\aweidin2\OneDrive - umdasch.com\Bauma 2022\Bilder\Aurora Melbourne Central - Picture Calendar 2019 Title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C:\Users\aweidin2\OneDrive - umdasch.com\Bauma 2022\Bilder\Aurora Melbourne Central - Picture Calendar 2019 Title_WORD.jp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a:xfrm>
                            <a:off x="0" y="0"/>
                            <a:ext cx="1494550" cy="2251070"/>
                          </a:xfrm>
                          <a:prstGeom prst="rect">
                            <a:avLst/>
                          </a:prstGeom>
                          <a:noFill/>
                          <a:ln>
                            <a:noFill/>
                          </a:ln>
                        </pic:spPr>
                      </pic:pic>
                    </a:graphicData>
                  </a:graphic>
                </wp:inline>
              </w:drawing>
            </w:r>
          </w:p>
        </w:tc>
        <w:tc>
          <w:tcPr>
            <w:tcW w:w="3774" w:type="dxa"/>
          </w:tcPr>
          <w:p w14:paraId="57CFC83D" w14:textId="77777777" w:rsidR="008D5110" w:rsidRDefault="008D5110">
            <w:pPr>
              <w:spacing w:line="276" w:lineRule="auto"/>
              <w:rPr>
                <w:sz w:val="20"/>
                <w:szCs w:val="20"/>
                <w:lang w:val="en-US"/>
              </w:rPr>
            </w:pPr>
          </w:p>
          <w:p w14:paraId="5941B090" w14:textId="77777777" w:rsidR="008D5110" w:rsidRPr="004A7E76" w:rsidRDefault="00AF4293">
            <w:pPr>
              <w:spacing w:line="276" w:lineRule="auto"/>
              <w:rPr>
                <w:sz w:val="20"/>
                <w:szCs w:val="20"/>
                <w:lang w:val="es-ES"/>
              </w:rPr>
            </w:pPr>
            <w:r>
              <w:rPr>
                <w:sz w:val="20"/>
                <w:szCs w:val="20"/>
                <w:lang w:val="es-ES"/>
              </w:rPr>
              <w:t xml:space="preserve">Con </w:t>
            </w:r>
            <w:proofErr w:type="spellStart"/>
            <w:r>
              <w:rPr>
                <w:sz w:val="20"/>
                <w:szCs w:val="20"/>
                <w:lang w:val="es-ES"/>
              </w:rPr>
              <w:t>SiteLight</w:t>
            </w:r>
            <w:proofErr w:type="spellEnd"/>
            <w:r>
              <w:rPr>
                <w:sz w:val="20"/>
                <w:szCs w:val="20"/>
                <w:lang w:val="es-ES"/>
              </w:rPr>
              <w:t xml:space="preserve"> se ha creado una nueva forma de medios de comunicación que revoluciona las tradicionales pancartas publicitarias en los lugares de construcción y convierte cada proyecto en un hito.</w:t>
            </w:r>
          </w:p>
          <w:p w14:paraId="481F6D70" w14:textId="77777777" w:rsidR="008D5110" w:rsidRPr="004A7E76" w:rsidRDefault="008D5110">
            <w:pPr>
              <w:spacing w:line="276" w:lineRule="auto"/>
              <w:rPr>
                <w:sz w:val="20"/>
                <w:szCs w:val="20"/>
                <w:lang w:val="es-ES"/>
              </w:rPr>
            </w:pPr>
          </w:p>
          <w:p w14:paraId="78B63574" w14:textId="77777777" w:rsidR="008D5110" w:rsidRDefault="00AF4293">
            <w:pPr>
              <w:spacing w:line="276" w:lineRule="auto"/>
              <w:rPr>
                <w:sz w:val="20"/>
                <w:szCs w:val="20"/>
                <w:lang w:val="en-US"/>
              </w:rPr>
            </w:pPr>
            <w:r>
              <w:rPr>
                <w:sz w:val="20"/>
                <w:szCs w:val="20"/>
                <w:lang w:val="es-ES"/>
              </w:rPr>
              <w:t>Fotografía: Aurora Melbourne Central - Picture Calendar 2019 Title.jpg</w:t>
            </w:r>
          </w:p>
          <w:p w14:paraId="012DA632" w14:textId="77777777" w:rsidR="008D5110" w:rsidRDefault="00AF4293">
            <w:pPr>
              <w:spacing w:line="276" w:lineRule="auto"/>
              <w:rPr>
                <w:sz w:val="20"/>
                <w:szCs w:val="20"/>
                <w:lang w:val="de-DE"/>
              </w:rPr>
            </w:pPr>
            <w:r>
              <w:rPr>
                <w:sz w:val="20"/>
                <w:szCs w:val="20"/>
                <w:lang w:val="es-ES"/>
              </w:rPr>
              <w:t xml:space="preserve">Derechos de autor: Grupo </w:t>
            </w:r>
            <w:proofErr w:type="spellStart"/>
            <w:r>
              <w:rPr>
                <w:sz w:val="20"/>
                <w:szCs w:val="20"/>
                <w:lang w:val="es-ES"/>
              </w:rPr>
              <w:t>Umdasch</w:t>
            </w:r>
            <w:proofErr w:type="spellEnd"/>
          </w:p>
        </w:tc>
      </w:tr>
    </w:tbl>
    <w:p w14:paraId="69605CAF" w14:textId="77777777" w:rsidR="008D5110" w:rsidRDefault="008D5110">
      <w:pPr>
        <w:rPr>
          <w:b/>
          <w:sz w:val="20"/>
          <w:szCs w:val="20"/>
          <w:lang w:val="de-DE"/>
        </w:rPr>
      </w:pPr>
    </w:p>
    <w:p w14:paraId="30D08961" w14:textId="77777777" w:rsidR="008D5110" w:rsidRDefault="008D5110">
      <w:pPr>
        <w:rPr>
          <w:b/>
          <w:sz w:val="20"/>
          <w:szCs w:val="20"/>
          <w:lang w:val="de-DE"/>
        </w:rPr>
      </w:pPr>
    </w:p>
    <w:p w14:paraId="4B3325FB" w14:textId="77777777" w:rsidR="008D5110" w:rsidRPr="0069570F" w:rsidRDefault="008D5110">
      <w:pPr>
        <w:rPr>
          <w:b/>
          <w:sz w:val="20"/>
          <w:szCs w:val="20"/>
          <w:lang w:val="de-DE"/>
        </w:rPr>
      </w:pPr>
    </w:p>
    <w:p w14:paraId="0444DC90" w14:textId="77777777" w:rsidR="008D5110" w:rsidRPr="004A7E76" w:rsidRDefault="00AF4293">
      <w:pPr>
        <w:rPr>
          <w:b/>
          <w:sz w:val="20"/>
          <w:szCs w:val="20"/>
          <w:lang w:val="es-ES"/>
        </w:rPr>
      </w:pPr>
      <w:r>
        <w:rPr>
          <w:b/>
          <w:sz w:val="20"/>
          <w:szCs w:val="20"/>
          <w:lang w:val="es-ES"/>
        </w:rPr>
        <w:t xml:space="preserve">El Grupo </w:t>
      </w:r>
      <w:proofErr w:type="spellStart"/>
      <w:r>
        <w:rPr>
          <w:b/>
          <w:sz w:val="20"/>
          <w:szCs w:val="20"/>
          <w:lang w:val="es-ES"/>
        </w:rPr>
        <w:t>Umdasch</w:t>
      </w:r>
      <w:proofErr w:type="spellEnd"/>
      <w:r>
        <w:rPr>
          <w:b/>
          <w:sz w:val="20"/>
          <w:szCs w:val="20"/>
          <w:lang w:val="es-ES"/>
        </w:rPr>
        <w:t xml:space="preserve"> AG de un vistazo:</w:t>
      </w:r>
    </w:p>
    <w:p w14:paraId="60CE33A3" w14:textId="77777777" w:rsidR="008D5110" w:rsidRPr="004A7E76" w:rsidRDefault="00AF4293">
      <w:pPr>
        <w:jc w:val="both"/>
        <w:rPr>
          <w:sz w:val="20"/>
          <w:szCs w:val="20"/>
          <w:lang w:val="es-ES"/>
        </w:rPr>
      </w:pPr>
      <w:r>
        <w:rPr>
          <w:sz w:val="20"/>
          <w:szCs w:val="20"/>
          <w:lang w:val="es-ES"/>
        </w:rPr>
        <w:t xml:space="preserve">El Grupo </w:t>
      </w:r>
      <w:proofErr w:type="spellStart"/>
      <w:r>
        <w:rPr>
          <w:sz w:val="20"/>
          <w:szCs w:val="20"/>
          <w:lang w:val="es-ES"/>
        </w:rPr>
        <w:t>Umdasch</w:t>
      </w:r>
      <w:proofErr w:type="spellEnd"/>
      <w:r>
        <w:rPr>
          <w:sz w:val="20"/>
          <w:szCs w:val="20"/>
          <w:lang w:val="es-ES"/>
        </w:rPr>
        <w:t xml:space="preserve"> AG, de éxito internacional, con sus divisiones corporativas </w:t>
      </w:r>
      <w:proofErr w:type="spellStart"/>
      <w:r>
        <w:rPr>
          <w:sz w:val="20"/>
          <w:szCs w:val="20"/>
          <w:lang w:val="es-ES"/>
        </w:rPr>
        <w:t>Doka</w:t>
      </w:r>
      <w:proofErr w:type="spellEnd"/>
      <w:r>
        <w:rPr>
          <w:sz w:val="20"/>
          <w:szCs w:val="20"/>
          <w:lang w:val="es-ES"/>
        </w:rPr>
        <w:t xml:space="preserve"> y </w:t>
      </w:r>
      <w:proofErr w:type="spellStart"/>
      <w:r>
        <w:rPr>
          <w:sz w:val="20"/>
          <w:szCs w:val="20"/>
          <w:lang w:val="es-ES"/>
        </w:rPr>
        <w:t>umdasch</w:t>
      </w:r>
      <w:proofErr w:type="spellEnd"/>
      <w:r>
        <w:rPr>
          <w:sz w:val="20"/>
          <w:szCs w:val="20"/>
          <w:lang w:val="es-ES"/>
        </w:rPr>
        <w:t xml:space="preserve"> </w:t>
      </w:r>
      <w:proofErr w:type="spellStart"/>
      <w:r>
        <w:rPr>
          <w:sz w:val="20"/>
          <w:szCs w:val="20"/>
          <w:lang w:val="es-ES"/>
        </w:rPr>
        <w:t>The</w:t>
      </w:r>
      <w:proofErr w:type="spellEnd"/>
      <w:r>
        <w:rPr>
          <w:sz w:val="20"/>
          <w:szCs w:val="20"/>
          <w:lang w:val="es-ES"/>
        </w:rPr>
        <w:t xml:space="preserve"> Store </w:t>
      </w:r>
      <w:proofErr w:type="spellStart"/>
      <w:r>
        <w:rPr>
          <w:sz w:val="20"/>
          <w:szCs w:val="20"/>
          <w:lang w:val="es-ES"/>
        </w:rPr>
        <w:t>Makers</w:t>
      </w:r>
      <w:proofErr w:type="spellEnd"/>
      <w:r>
        <w:rPr>
          <w:sz w:val="20"/>
          <w:szCs w:val="20"/>
          <w:lang w:val="es-ES"/>
        </w:rPr>
        <w:t xml:space="preserve">, está presente en unos 70 países en más de 170 emplazamientos. Desde 2017, el Grupo participa en innovaciones orientadas al futuro, principalmente disruptivas, en el ámbito de la construcción y el comercio minorista con su tercera división </w:t>
      </w:r>
      <w:proofErr w:type="spellStart"/>
      <w:r>
        <w:rPr>
          <w:sz w:val="20"/>
          <w:szCs w:val="20"/>
          <w:lang w:val="es-ES"/>
        </w:rPr>
        <w:t>Umdasch</w:t>
      </w:r>
      <w:proofErr w:type="spellEnd"/>
      <w:r>
        <w:rPr>
          <w:sz w:val="20"/>
          <w:szCs w:val="20"/>
          <w:lang w:val="es-ES"/>
        </w:rPr>
        <w:t xml:space="preserve"> </w:t>
      </w:r>
      <w:proofErr w:type="spellStart"/>
      <w:r>
        <w:rPr>
          <w:sz w:val="20"/>
          <w:szCs w:val="20"/>
          <w:lang w:val="es-ES"/>
        </w:rPr>
        <w:t>Group</w:t>
      </w:r>
      <w:proofErr w:type="spellEnd"/>
      <w:r>
        <w:rPr>
          <w:sz w:val="20"/>
          <w:szCs w:val="20"/>
          <w:lang w:val="es-ES"/>
        </w:rPr>
        <w:t xml:space="preserve"> </w:t>
      </w:r>
      <w:proofErr w:type="spellStart"/>
      <w:r>
        <w:rPr>
          <w:sz w:val="20"/>
          <w:szCs w:val="20"/>
          <w:lang w:val="es-ES"/>
        </w:rPr>
        <w:t>Ventures</w:t>
      </w:r>
      <w:proofErr w:type="spellEnd"/>
      <w:r>
        <w:rPr>
          <w:sz w:val="20"/>
          <w:szCs w:val="20"/>
          <w:lang w:val="es-ES"/>
        </w:rPr>
        <w:t xml:space="preserve">. La empresa familiar emplea a unos 8800 trabajadores en todo el mundo y, con unos ingresos de 1411 miles de millones de euros en 2020, es uno de los principales actores del sector industrial. Además de una fuerte internacionalización, la empresa se centra en la innovación constante. </w:t>
      </w:r>
    </w:p>
    <w:p w14:paraId="619FDE50" w14:textId="77777777" w:rsidR="008D5110" w:rsidRPr="004A7E76" w:rsidRDefault="008D5110">
      <w:pPr>
        <w:rPr>
          <w:b/>
          <w:sz w:val="20"/>
          <w:szCs w:val="20"/>
          <w:lang w:val="es-ES"/>
        </w:rPr>
      </w:pPr>
    </w:p>
    <w:p w14:paraId="4D2084B2" w14:textId="77777777" w:rsidR="008D5110" w:rsidRPr="004A7E76" w:rsidRDefault="008D5110">
      <w:pPr>
        <w:rPr>
          <w:b/>
          <w:sz w:val="20"/>
          <w:szCs w:val="20"/>
          <w:lang w:val="es-ES"/>
        </w:rPr>
      </w:pPr>
    </w:p>
    <w:p w14:paraId="738F6E23" w14:textId="77777777" w:rsidR="008D5110" w:rsidRPr="004A7E76" w:rsidRDefault="00AF4293">
      <w:pPr>
        <w:rPr>
          <w:b/>
          <w:sz w:val="20"/>
          <w:szCs w:val="20"/>
          <w:lang w:val="es-ES"/>
        </w:rPr>
      </w:pPr>
      <w:r>
        <w:rPr>
          <w:b/>
          <w:sz w:val="20"/>
          <w:szCs w:val="20"/>
          <w:lang w:val="es-ES"/>
        </w:rPr>
        <w:t xml:space="preserve">Sobre </w:t>
      </w:r>
      <w:proofErr w:type="spellStart"/>
      <w:r>
        <w:rPr>
          <w:b/>
          <w:sz w:val="20"/>
          <w:szCs w:val="20"/>
          <w:lang w:val="es-ES"/>
        </w:rPr>
        <w:t>Doka</w:t>
      </w:r>
      <w:proofErr w:type="spellEnd"/>
      <w:r>
        <w:rPr>
          <w:b/>
          <w:sz w:val="20"/>
          <w:szCs w:val="20"/>
          <w:lang w:val="es-ES"/>
        </w:rPr>
        <w:t>:</w:t>
      </w:r>
    </w:p>
    <w:p w14:paraId="60812DDF" w14:textId="77777777" w:rsidR="008D5110" w:rsidRPr="004A7E76" w:rsidRDefault="00AF4293">
      <w:pPr>
        <w:jc w:val="both"/>
        <w:rPr>
          <w:rStyle w:val="mandatory"/>
          <w:rFonts w:cs="Arial"/>
          <w:sz w:val="20"/>
          <w:szCs w:val="20"/>
          <w:shd w:val="clear" w:color="auto" w:fill="FFFFFF"/>
          <w:lang w:val="es-ES"/>
        </w:rPr>
      </w:pPr>
      <w:proofErr w:type="spellStart"/>
      <w:r>
        <w:rPr>
          <w:rFonts w:cs="Arial"/>
          <w:sz w:val="20"/>
          <w:szCs w:val="20"/>
          <w:lang w:val="es-ES"/>
        </w:rPr>
        <w:t>Doka</w:t>
      </w:r>
      <w:proofErr w:type="spellEnd"/>
      <w:r>
        <w:rPr>
          <w:rFonts w:cs="Arial"/>
          <w:sz w:val="20"/>
          <w:szCs w:val="20"/>
          <w:lang w:val="es-ES"/>
        </w:rPr>
        <w:t xml:space="preserve"> es líder mundial en el suministro de encofrados, soluciones y servicios innovadores en todos los ámbitos de la construcción. La empresa también es un proveedor mundial de soluciones de andamiaje bien diseñadas para un variado espectro de aplicaciones. Con más de 160 instalaciones de venta y logística en más de 60 países, </w:t>
      </w:r>
      <w:proofErr w:type="spellStart"/>
      <w:r>
        <w:rPr>
          <w:rFonts w:cs="Arial"/>
          <w:sz w:val="20"/>
          <w:szCs w:val="20"/>
          <w:lang w:val="es-ES"/>
        </w:rPr>
        <w:t>Doka</w:t>
      </w:r>
      <w:proofErr w:type="spellEnd"/>
      <w:r>
        <w:rPr>
          <w:rFonts w:cs="Arial"/>
          <w:sz w:val="20"/>
          <w:szCs w:val="20"/>
          <w:lang w:val="es-ES"/>
        </w:rPr>
        <w:t xml:space="preserve"> dispone de una red de distribución de alto rendimiento para el asesoramiento, el servicio al cliente y la asistencia técnica en la zona de operaciones, y garantiza el suministro rápido de equipos, independientemente de la magnitud y la complejidad del proyecto. </w:t>
      </w:r>
      <w:proofErr w:type="spellStart"/>
      <w:r>
        <w:rPr>
          <w:rFonts w:cs="Arial"/>
          <w:sz w:val="20"/>
          <w:szCs w:val="20"/>
          <w:lang w:val="es-ES"/>
        </w:rPr>
        <w:t>Doka</w:t>
      </w:r>
      <w:proofErr w:type="spellEnd"/>
      <w:r>
        <w:rPr>
          <w:rFonts w:cs="Arial"/>
          <w:sz w:val="20"/>
          <w:szCs w:val="20"/>
          <w:lang w:val="es-ES"/>
        </w:rPr>
        <w:t xml:space="preserve"> cuenta con 7300 empleados en todo el mundo y es una empresa del Grupo </w:t>
      </w:r>
      <w:proofErr w:type="spellStart"/>
      <w:r>
        <w:rPr>
          <w:rFonts w:cs="Arial"/>
          <w:sz w:val="20"/>
          <w:szCs w:val="20"/>
          <w:lang w:val="es-ES"/>
        </w:rPr>
        <w:t>Umdasch</w:t>
      </w:r>
      <w:proofErr w:type="spellEnd"/>
      <w:r>
        <w:rPr>
          <w:rFonts w:cs="Arial"/>
          <w:sz w:val="20"/>
          <w:szCs w:val="20"/>
          <w:lang w:val="es-ES"/>
        </w:rPr>
        <w:t>, que es sinónimo de fiabilidad, experiencia y confianza desde hace más de 150 años.</w:t>
      </w:r>
    </w:p>
    <w:p w14:paraId="56C9B946" w14:textId="77777777" w:rsidR="008D5110" w:rsidRPr="004A7E76" w:rsidRDefault="008D5110">
      <w:pPr>
        <w:jc w:val="both"/>
        <w:rPr>
          <w:rStyle w:val="mandatory"/>
          <w:rFonts w:ascii="Calibri" w:hAnsi="Calibri"/>
          <w:szCs w:val="22"/>
          <w:shd w:val="clear" w:color="auto" w:fill="FFFFFF"/>
          <w:lang w:val="es-ES"/>
        </w:rPr>
      </w:pPr>
    </w:p>
    <w:p w14:paraId="13D59689" w14:textId="77777777" w:rsidR="008D5110" w:rsidRPr="004A7E76" w:rsidRDefault="008D5110">
      <w:pPr>
        <w:tabs>
          <w:tab w:val="left" w:pos="2835"/>
        </w:tabs>
        <w:spacing w:line="264" w:lineRule="auto"/>
        <w:rPr>
          <w:rFonts w:cs="Arial"/>
          <w:sz w:val="20"/>
          <w:szCs w:val="20"/>
          <w:lang w:val="es-ES"/>
        </w:rPr>
      </w:pPr>
    </w:p>
    <w:p w14:paraId="03FCD306" w14:textId="77777777" w:rsidR="008D5110" w:rsidRDefault="00AF4293">
      <w:pPr>
        <w:tabs>
          <w:tab w:val="left" w:pos="2835"/>
        </w:tabs>
        <w:spacing w:line="264" w:lineRule="auto"/>
        <w:rPr>
          <w:rFonts w:cs="Arial"/>
          <w:sz w:val="20"/>
          <w:szCs w:val="22"/>
          <w:lang w:val="en-US"/>
        </w:rPr>
      </w:pPr>
      <w:r>
        <w:rPr>
          <w:b/>
          <w:sz w:val="20"/>
          <w:szCs w:val="20"/>
          <w:lang w:val="es-ES"/>
        </w:rPr>
        <w:t>Contacto para la prensa</w:t>
      </w:r>
    </w:p>
    <w:p w14:paraId="15384B13" w14:textId="77777777" w:rsidR="008D5110" w:rsidRDefault="00AF4293">
      <w:pPr>
        <w:rPr>
          <w:rFonts w:cs="Arial"/>
          <w:b/>
          <w:sz w:val="20"/>
          <w:szCs w:val="20"/>
          <w:lang w:val="en-US"/>
        </w:rPr>
      </w:pPr>
      <w:proofErr w:type="spellStart"/>
      <w:r>
        <w:rPr>
          <w:rFonts w:cs="Arial"/>
          <w:b/>
          <w:sz w:val="20"/>
          <w:szCs w:val="20"/>
          <w:lang w:val="es-ES"/>
        </w:rPr>
        <w:t>Doka</w:t>
      </w:r>
      <w:proofErr w:type="spellEnd"/>
    </w:p>
    <w:p w14:paraId="2BA4CCBA" w14:textId="77777777" w:rsidR="008D5110" w:rsidRDefault="00AF4293">
      <w:pPr>
        <w:rPr>
          <w:rFonts w:cs="Arial"/>
          <w:bCs/>
          <w:sz w:val="20"/>
          <w:szCs w:val="20"/>
          <w:lang w:val="en-US"/>
        </w:rPr>
      </w:pPr>
      <w:r>
        <w:rPr>
          <w:rFonts w:cs="Arial"/>
          <w:bCs/>
          <w:sz w:val="20"/>
          <w:szCs w:val="20"/>
          <w:lang w:val="es-ES"/>
        </w:rPr>
        <w:t xml:space="preserve">Alexandra </w:t>
      </w:r>
      <w:proofErr w:type="spellStart"/>
      <w:r>
        <w:rPr>
          <w:rFonts w:cs="Arial"/>
          <w:bCs/>
          <w:sz w:val="20"/>
          <w:szCs w:val="20"/>
          <w:lang w:val="es-ES"/>
        </w:rPr>
        <w:t>Weidinger</w:t>
      </w:r>
      <w:proofErr w:type="spellEnd"/>
    </w:p>
    <w:p w14:paraId="6C4ED794" w14:textId="77777777" w:rsidR="008D5110" w:rsidRDefault="00AF4293">
      <w:pPr>
        <w:rPr>
          <w:rFonts w:cs="Arial"/>
          <w:bCs/>
          <w:sz w:val="20"/>
          <w:szCs w:val="20"/>
          <w:lang w:val="en-US"/>
        </w:rPr>
      </w:pPr>
      <w:r>
        <w:rPr>
          <w:rFonts w:cs="Arial"/>
          <w:bCs/>
          <w:sz w:val="20"/>
          <w:szCs w:val="20"/>
          <w:lang w:val="es-ES"/>
        </w:rPr>
        <w:t>+43 664 62 94 111</w:t>
      </w:r>
    </w:p>
    <w:p w14:paraId="27B14B11" w14:textId="77777777" w:rsidR="008D5110" w:rsidRDefault="00AF4293">
      <w:pPr>
        <w:rPr>
          <w:sz w:val="20"/>
          <w:lang w:val="en-US"/>
        </w:rPr>
      </w:pPr>
      <w:r>
        <w:rPr>
          <w:sz w:val="20"/>
          <w:lang w:val="es-ES"/>
        </w:rPr>
        <w:t>alexandra.weidinger@doka.com</w:t>
      </w:r>
    </w:p>
    <w:p w14:paraId="5799A038" w14:textId="77777777" w:rsidR="008D5110" w:rsidRDefault="00AF4293">
      <w:pPr>
        <w:rPr>
          <w:rFonts w:cs="Arial"/>
          <w:sz w:val="18"/>
          <w:szCs w:val="20"/>
          <w:lang w:val="en-US"/>
        </w:rPr>
      </w:pPr>
      <w:r>
        <w:rPr>
          <w:sz w:val="20"/>
          <w:lang w:val="es-ES"/>
        </w:rPr>
        <w:t>www.doka.com</w:t>
      </w:r>
    </w:p>
    <w:p w14:paraId="3BA46467" w14:textId="77777777" w:rsidR="008D5110" w:rsidRDefault="008D5110">
      <w:pPr>
        <w:rPr>
          <w:rFonts w:cs="Arial"/>
          <w:sz w:val="18"/>
          <w:szCs w:val="20"/>
          <w:lang w:val="en-US"/>
        </w:rPr>
      </w:pPr>
    </w:p>
    <w:sectPr w:rsidR="008D5110">
      <w:headerReference w:type="default" r:id="rId18"/>
      <w:pgSz w:w="11906" w:h="16838"/>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506BD7" w14:textId="77777777" w:rsidR="00432772" w:rsidRDefault="00432772">
      <w:r>
        <w:separator/>
      </w:r>
    </w:p>
  </w:endnote>
  <w:endnote w:type="continuationSeparator" w:id="0">
    <w:p w14:paraId="4B7B371A" w14:textId="77777777" w:rsidR="00432772" w:rsidRDefault="004327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altName w:val="Arial Narrow"/>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FC647E" w14:textId="77777777" w:rsidR="00432772" w:rsidRDefault="00432772">
      <w:r>
        <w:separator/>
      </w:r>
    </w:p>
  </w:footnote>
  <w:footnote w:type="continuationSeparator" w:id="0">
    <w:p w14:paraId="4802A110" w14:textId="77777777" w:rsidR="00432772" w:rsidRDefault="004327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D7F62" w14:textId="7EC05FC6" w:rsidR="008D5110" w:rsidRDefault="00AF4293">
    <w:pPr>
      <w:pStyle w:val="Kopfzeile"/>
      <w:tabs>
        <w:tab w:val="left" w:pos="269"/>
      </w:tabs>
    </w:pPr>
    <w:r>
      <w:rPr>
        <w:b/>
        <w:noProof/>
        <w:lang w:val="de-DE" w:eastAsia="de-DE"/>
      </w:rPr>
      <w:drawing>
        <wp:anchor distT="0" distB="0" distL="114300" distR="114300" simplePos="0" relativeHeight="251659264" behindDoc="0" locked="0" layoutInCell="1" allowOverlap="1" wp14:anchorId="019BBDB4" wp14:editId="4EC95D5C">
          <wp:simplePos x="0" y="0"/>
          <wp:positionH relativeFrom="column">
            <wp:posOffset>4159250</wp:posOffset>
          </wp:positionH>
          <wp:positionV relativeFrom="paragraph">
            <wp:posOffset>1270</wp:posOffset>
          </wp:positionV>
          <wp:extent cx="1564640" cy="617220"/>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5" descr="doka_logo.jpg"/>
                  <pic:cNvPicPr>
                    <a:picLocks noChangeAspect="1" noChangeArrowheads="1"/>
                  </pic:cNvPicPr>
                </pic:nvPicPr>
                <pic:blipFill>
                  <a:blip r:embed="rId1"/>
                  <a:stretch>
                    <a:fillRect/>
                  </a:stretch>
                </pic:blipFill>
                <pic:spPr>
                  <a:xfrm>
                    <a:off x="0" y="0"/>
                    <a:ext cx="1564423" cy="617035"/>
                  </a:xfrm>
                  <a:prstGeom prst="rect">
                    <a:avLst/>
                  </a:prstGeom>
                  <a:noFill/>
                  <a:ln w="9525">
                    <a:noFill/>
                    <a:miter lim="800000"/>
                    <a:headEnd/>
                    <a:tailEnd/>
                  </a:ln>
                </pic:spPr>
              </pic:pic>
            </a:graphicData>
          </a:graphic>
        </wp:anchor>
      </w:drawing>
    </w:r>
    <w:r>
      <w:rPr>
        <w:b/>
        <w:lang w:val="es-ES"/>
      </w:rPr>
      <w:t>Comunicado de prensa</w:t>
    </w:r>
    <w:r w:rsidR="00C754EB">
      <w:rPr>
        <w:lang w:val="es-ES"/>
      </w:rPr>
      <w:t xml:space="preserve"> / </w:t>
    </w:r>
    <w:r w:rsidR="00F20341">
      <w:rPr>
        <w:lang w:val="es-ES"/>
      </w:rPr>
      <w:t>7</w:t>
    </w:r>
    <w:r w:rsidR="0069570F">
      <w:rPr>
        <w:lang w:val="es-ES"/>
      </w:rPr>
      <w:t xml:space="preserve"> de j</w:t>
    </w:r>
    <w:r w:rsidR="0069570F" w:rsidRPr="0069570F">
      <w:rPr>
        <w:lang w:val="es-ES"/>
      </w:rPr>
      <w:t>ulio</w:t>
    </w:r>
    <w:r>
      <w:rPr>
        <w:lang w:val="es-ES"/>
      </w:rPr>
      <w:t xml:space="preserve"> de 2022</w:t>
    </w:r>
  </w:p>
  <w:p w14:paraId="68CC9463" w14:textId="77777777" w:rsidR="008D5110" w:rsidRDefault="008D5110">
    <w:pPr>
      <w:pStyle w:val="Kopfzeile"/>
    </w:pPr>
  </w:p>
  <w:p w14:paraId="0B65863D" w14:textId="77777777" w:rsidR="008D5110" w:rsidRDefault="008D5110">
    <w:pPr>
      <w:pStyle w:val="Kopfzeile"/>
      <w:jc w:val="right"/>
    </w:pPr>
  </w:p>
  <w:p w14:paraId="50DB97B1" w14:textId="77777777" w:rsidR="008D5110" w:rsidRDefault="008D5110">
    <w:pPr>
      <w:pStyle w:val="Kopfzeile"/>
      <w:jc w:val="right"/>
    </w:pPr>
  </w:p>
  <w:p w14:paraId="135750B9" w14:textId="77777777" w:rsidR="008D5110" w:rsidRDefault="008D511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2CE015E"/>
    <w:multiLevelType w:val="multilevel"/>
    <w:tmpl w:val="52CE015E"/>
    <w:lvl w:ilvl="0">
      <w:start w:val="1"/>
      <w:numFmt w:val="decimal"/>
      <w:pStyle w:val="berschrift1"/>
      <w:lvlText w:val="%1."/>
      <w:lvlJc w:val="left"/>
      <w:pPr>
        <w:tabs>
          <w:tab w:val="left" w:pos="360"/>
        </w:tabs>
        <w:ind w:left="0" w:firstLine="0"/>
      </w:pPr>
      <w:rPr>
        <w:rFonts w:ascii="Arial" w:hAnsi="Arial" w:hint="default"/>
        <w:b/>
        <w:i w:val="0"/>
        <w:sz w:val="22"/>
        <w:u w:val="single"/>
      </w:rPr>
    </w:lvl>
    <w:lvl w:ilvl="1">
      <w:start w:val="1"/>
      <w:numFmt w:val="decimal"/>
      <w:pStyle w:val="berschrift2"/>
      <w:lvlText w:val="%1.%2"/>
      <w:lvlJc w:val="left"/>
      <w:pPr>
        <w:tabs>
          <w:tab w:val="left" w:pos="360"/>
        </w:tabs>
        <w:ind w:left="0" w:firstLine="0"/>
      </w:pPr>
      <w:rPr>
        <w:rFonts w:ascii="Arial" w:hAnsi="Arial" w:hint="default"/>
        <w:b/>
        <w:i w:val="0"/>
        <w:sz w:val="22"/>
      </w:rPr>
    </w:lvl>
    <w:lvl w:ilvl="2">
      <w:start w:val="1"/>
      <w:numFmt w:val="decimal"/>
      <w:pStyle w:val="berschrift3"/>
      <w:lvlText w:val="%1.%2.%3"/>
      <w:lvlJc w:val="left"/>
      <w:pPr>
        <w:tabs>
          <w:tab w:val="left" w:pos="720"/>
        </w:tabs>
        <w:ind w:left="0" w:firstLine="0"/>
      </w:pPr>
      <w:rPr>
        <w:rFonts w:ascii="Arial" w:hAnsi="Arial" w:hint="default"/>
        <w:sz w:val="22"/>
        <w:u w:val="single"/>
      </w:rPr>
    </w:lvl>
    <w:lvl w:ilvl="3">
      <w:start w:val="1"/>
      <w:numFmt w:val="decimal"/>
      <w:pStyle w:val="berschrift4"/>
      <w:lvlText w:val="%1.%2.%3.%4"/>
      <w:lvlJc w:val="left"/>
      <w:pPr>
        <w:tabs>
          <w:tab w:val="left" w:pos="720"/>
        </w:tabs>
        <w:ind w:left="0" w:firstLine="0"/>
      </w:pPr>
      <w:rPr>
        <w:rFonts w:ascii="Arial" w:hAnsi="Arial" w:hint="default"/>
        <w:sz w:val="22"/>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1" w15:restartNumberingAfterBreak="0">
    <w:nsid w:val="7DB55AFA"/>
    <w:multiLevelType w:val="multilevel"/>
    <w:tmpl w:val="7DB55A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30363"/>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47C2C"/>
    <w:rsid w:val="000504BE"/>
    <w:rsid w:val="0005119C"/>
    <w:rsid w:val="000516E2"/>
    <w:rsid w:val="000524A8"/>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83E"/>
    <w:rsid w:val="00066095"/>
    <w:rsid w:val="000678CA"/>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6E3"/>
    <w:rsid w:val="000A7C45"/>
    <w:rsid w:val="000B00AF"/>
    <w:rsid w:val="000B1E8D"/>
    <w:rsid w:val="000B2A71"/>
    <w:rsid w:val="000B45DC"/>
    <w:rsid w:val="000B487E"/>
    <w:rsid w:val="000B4C9D"/>
    <w:rsid w:val="000B4F48"/>
    <w:rsid w:val="000B536B"/>
    <w:rsid w:val="000B580F"/>
    <w:rsid w:val="000B6445"/>
    <w:rsid w:val="000B6F32"/>
    <w:rsid w:val="000B7ED1"/>
    <w:rsid w:val="000C05A5"/>
    <w:rsid w:val="000C09CF"/>
    <w:rsid w:val="000C0E0C"/>
    <w:rsid w:val="000C1CA7"/>
    <w:rsid w:val="000C2064"/>
    <w:rsid w:val="000C2198"/>
    <w:rsid w:val="000C348F"/>
    <w:rsid w:val="000C58F0"/>
    <w:rsid w:val="000C5A14"/>
    <w:rsid w:val="000C5D7D"/>
    <w:rsid w:val="000C5F55"/>
    <w:rsid w:val="000C7784"/>
    <w:rsid w:val="000D09F0"/>
    <w:rsid w:val="000D0CDF"/>
    <w:rsid w:val="000D0CF0"/>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1AB8"/>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355C"/>
    <w:rsid w:val="00115812"/>
    <w:rsid w:val="0011670E"/>
    <w:rsid w:val="00121825"/>
    <w:rsid w:val="00121D69"/>
    <w:rsid w:val="0012285E"/>
    <w:rsid w:val="00123315"/>
    <w:rsid w:val="00123655"/>
    <w:rsid w:val="001236E6"/>
    <w:rsid w:val="001249C4"/>
    <w:rsid w:val="0012522B"/>
    <w:rsid w:val="00125E40"/>
    <w:rsid w:val="0012691E"/>
    <w:rsid w:val="001302B5"/>
    <w:rsid w:val="00130F97"/>
    <w:rsid w:val="001327D5"/>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2F5"/>
    <w:rsid w:val="00156EA4"/>
    <w:rsid w:val="00157F60"/>
    <w:rsid w:val="00161368"/>
    <w:rsid w:val="0016219E"/>
    <w:rsid w:val="001623A2"/>
    <w:rsid w:val="001629CD"/>
    <w:rsid w:val="00162FD2"/>
    <w:rsid w:val="001635F7"/>
    <w:rsid w:val="0016380F"/>
    <w:rsid w:val="00163E88"/>
    <w:rsid w:val="0016448C"/>
    <w:rsid w:val="00164857"/>
    <w:rsid w:val="00165E1B"/>
    <w:rsid w:val="001667BE"/>
    <w:rsid w:val="00167DC2"/>
    <w:rsid w:val="00175B13"/>
    <w:rsid w:val="00175E56"/>
    <w:rsid w:val="0017659A"/>
    <w:rsid w:val="00180556"/>
    <w:rsid w:val="00180E8A"/>
    <w:rsid w:val="00182235"/>
    <w:rsid w:val="001830C3"/>
    <w:rsid w:val="0018351A"/>
    <w:rsid w:val="0018399C"/>
    <w:rsid w:val="00183B9D"/>
    <w:rsid w:val="001843F1"/>
    <w:rsid w:val="001849D8"/>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9B1"/>
    <w:rsid w:val="001A3C69"/>
    <w:rsid w:val="001A3E07"/>
    <w:rsid w:val="001A5C2E"/>
    <w:rsid w:val="001A5DFD"/>
    <w:rsid w:val="001A67D6"/>
    <w:rsid w:val="001A7202"/>
    <w:rsid w:val="001A7932"/>
    <w:rsid w:val="001B1340"/>
    <w:rsid w:val="001B24D6"/>
    <w:rsid w:val="001B3C6F"/>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8BD"/>
    <w:rsid w:val="001C7A6C"/>
    <w:rsid w:val="001D05F0"/>
    <w:rsid w:val="001D0601"/>
    <w:rsid w:val="001D1680"/>
    <w:rsid w:val="001D1B09"/>
    <w:rsid w:val="001D333E"/>
    <w:rsid w:val="001D39D7"/>
    <w:rsid w:val="001D5A0B"/>
    <w:rsid w:val="001D61DB"/>
    <w:rsid w:val="001D775D"/>
    <w:rsid w:val="001E30AD"/>
    <w:rsid w:val="001E41F5"/>
    <w:rsid w:val="001E4415"/>
    <w:rsid w:val="001E5A03"/>
    <w:rsid w:val="001E5AD5"/>
    <w:rsid w:val="001E5BAF"/>
    <w:rsid w:val="001E5C32"/>
    <w:rsid w:val="001E625B"/>
    <w:rsid w:val="001E6328"/>
    <w:rsid w:val="001E714B"/>
    <w:rsid w:val="001E78A3"/>
    <w:rsid w:val="001F0607"/>
    <w:rsid w:val="001F13F7"/>
    <w:rsid w:val="001F1553"/>
    <w:rsid w:val="001F1606"/>
    <w:rsid w:val="001F3104"/>
    <w:rsid w:val="001F43CB"/>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0430"/>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76E"/>
    <w:rsid w:val="002217EB"/>
    <w:rsid w:val="00222918"/>
    <w:rsid w:val="002241C6"/>
    <w:rsid w:val="0022675D"/>
    <w:rsid w:val="0022681D"/>
    <w:rsid w:val="00226A52"/>
    <w:rsid w:val="002273BC"/>
    <w:rsid w:val="002274B0"/>
    <w:rsid w:val="002306F3"/>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45B9"/>
    <w:rsid w:val="0025551E"/>
    <w:rsid w:val="00255FAB"/>
    <w:rsid w:val="00260020"/>
    <w:rsid w:val="00260649"/>
    <w:rsid w:val="002622A5"/>
    <w:rsid w:val="00263386"/>
    <w:rsid w:val="00263FB8"/>
    <w:rsid w:val="002647DE"/>
    <w:rsid w:val="00264CD3"/>
    <w:rsid w:val="00264FC0"/>
    <w:rsid w:val="002660AC"/>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804"/>
    <w:rsid w:val="0029654E"/>
    <w:rsid w:val="00296B63"/>
    <w:rsid w:val="00296CF5"/>
    <w:rsid w:val="00296F04"/>
    <w:rsid w:val="0029762F"/>
    <w:rsid w:val="00297904"/>
    <w:rsid w:val="002A0E48"/>
    <w:rsid w:val="002A1FB5"/>
    <w:rsid w:val="002A247F"/>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1470"/>
    <w:rsid w:val="002B1823"/>
    <w:rsid w:val="002B2195"/>
    <w:rsid w:val="002B24DA"/>
    <w:rsid w:val="002B4113"/>
    <w:rsid w:val="002B584A"/>
    <w:rsid w:val="002B610D"/>
    <w:rsid w:val="002B69AB"/>
    <w:rsid w:val="002B7048"/>
    <w:rsid w:val="002B7449"/>
    <w:rsid w:val="002B77BD"/>
    <w:rsid w:val="002B7944"/>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1FE"/>
    <w:rsid w:val="002D62C0"/>
    <w:rsid w:val="002D70C4"/>
    <w:rsid w:val="002D7E07"/>
    <w:rsid w:val="002E1820"/>
    <w:rsid w:val="002E3006"/>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626"/>
    <w:rsid w:val="003046F0"/>
    <w:rsid w:val="0030579E"/>
    <w:rsid w:val="00306284"/>
    <w:rsid w:val="00306A48"/>
    <w:rsid w:val="00310C00"/>
    <w:rsid w:val="00311762"/>
    <w:rsid w:val="00311B15"/>
    <w:rsid w:val="00312559"/>
    <w:rsid w:val="00312DB0"/>
    <w:rsid w:val="00314423"/>
    <w:rsid w:val="00315C2D"/>
    <w:rsid w:val="00316391"/>
    <w:rsid w:val="00316D8B"/>
    <w:rsid w:val="00317703"/>
    <w:rsid w:val="003201F6"/>
    <w:rsid w:val="00320642"/>
    <w:rsid w:val="003214AF"/>
    <w:rsid w:val="003218E2"/>
    <w:rsid w:val="0032248A"/>
    <w:rsid w:val="003242FC"/>
    <w:rsid w:val="00324DC7"/>
    <w:rsid w:val="003254C3"/>
    <w:rsid w:val="00325611"/>
    <w:rsid w:val="00326CF9"/>
    <w:rsid w:val="00326F15"/>
    <w:rsid w:val="00330693"/>
    <w:rsid w:val="003325D9"/>
    <w:rsid w:val="003345D7"/>
    <w:rsid w:val="00335504"/>
    <w:rsid w:val="003364BD"/>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6D3"/>
    <w:rsid w:val="00357964"/>
    <w:rsid w:val="00357C2A"/>
    <w:rsid w:val="003605A8"/>
    <w:rsid w:val="00361C4D"/>
    <w:rsid w:val="003631D1"/>
    <w:rsid w:val="00363820"/>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2E9B"/>
    <w:rsid w:val="00383394"/>
    <w:rsid w:val="00385AA2"/>
    <w:rsid w:val="00386719"/>
    <w:rsid w:val="00386AD2"/>
    <w:rsid w:val="00390A62"/>
    <w:rsid w:val="00390D71"/>
    <w:rsid w:val="003914D8"/>
    <w:rsid w:val="00391BC3"/>
    <w:rsid w:val="00391C9A"/>
    <w:rsid w:val="00392370"/>
    <w:rsid w:val="00392C42"/>
    <w:rsid w:val="00393CDB"/>
    <w:rsid w:val="00393F20"/>
    <w:rsid w:val="00394288"/>
    <w:rsid w:val="003947D4"/>
    <w:rsid w:val="00395DB2"/>
    <w:rsid w:val="00397183"/>
    <w:rsid w:val="003971F1"/>
    <w:rsid w:val="003A021D"/>
    <w:rsid w:val="003A0F0F"/>
    <w:rsid w:val="003A5B0C"/>
    <w:rsid w:val="003A6805"/>
    <w:rsid w:val="003A729B"/>
    <w:rsid w:val="003A79FC"/>
    <w:rsid w:val="003A7A91"/>
    <w:rsid w:val="003A7D43"/>
    <w:rsid w:val="003B116E"/>
    <w:rsid w:val="003B19FE"/>
    <w:rsid w:val="003B233B"/>
    <w:rsid w:val="003B2653"/>
    <w:rsid w:val="003B3372"/>
    <w:rsid w:val="003B3451"/>
    <w:rsid w:val="003B3FCB"/>
    <w:rsid w:val="003B5AB4"/>
    <w:rsid w:val="003B7149"/>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A93"/>
    <w:rsid w:val="003D78BE"/>
    <w:rsid w:val="003D7C4D"/>
    <w:rsid w:val="003E04FA"/>
    <w:rsid w:val="003E0E0F"/>
    <w:rsid w:val="003E1B7C"/>
    <w:rsid w:val="003E20C1"/>
    <w:rsid w:val="003E2F7D"/>
    <w:rsid w:val="003E3319"/>
    <w:rsid w:val="003E3324"/>
    <w:rsid w:val="003E3A9E"/>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C30"/>
    <w:rsid w:val="00410041"/>
    <w:rsid w:val="00411213"/>
    <w:rsid w:val="004134D2"/>
    <w:rsid w:val="00414531"/>
    <w:rsid w:val="00415201"/>
    <w:rsid w:val="004165BC"/>
    <w:rsid w:val="00416801"/>
    <w:rsid w:val="00416AA8"/>
    <w:rsid w:val="00416CB1"/>
    <w:rsid w:val="004206F5"/>
    <w:rsid w:val="00421BD2"/>
    <w:rsid w:val="0042297A"/>
    <w:rsid w:val="004235FA"/>
    <w:rsid w:val="00424638"/>
    <w:rsid w:val="00424EB9"/>
    <w:rsid w:val="004251A6"/>
    <w:rsid w:val="00426859"/>
    <w:rsid w:val="00426905"/>
    <w:rsid w:val="004270A9"/>
    <w:rsid w:val="00427C4A"/>
    <w:rsid w:val="00427CC6"/>
    <w:rsid w:val="00430623"/>
    <w:rsid w:val="00430B08"/>
    <w:rsid w:val="00430FDA"/>
    <w:rsid w:val="00432165"/>
    <w:rsid w:val="004324E4"/>
    <w:rsid w:val="00432772"/>
    <w:rsid w:val="00433261"/>
    <w:rsid w:val="00434146"/>
    <w:rsid w:val="00434545"/>
    <w:rsid w:val="004350B0"/>
    <w:rsid w:val="004350D0"/>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A1F"/>
    <w:rsid w:val="00463CD4"/>
    <w:rsid w:val="0046479F"/>
    <w:rsid w:val="00464B9F"/>
    <w:rsid w:val="00465090"/>
    <w:rsid w:val="00465463"/>
    <w:rsid w:val="00465635"/>
    <w:rsid w:val="00465F6B"/>
    <w:rsid w:val="0046617D"/>
    <w:rsid w:val="0047008B"/>
    <w:rsid w:val="00470EB7"/>
    <w:rsid w:val="00471797"/>
    <w:rsid w:val="00474177"/>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A7E76"/>
    <w:rsid w:val="004B0024"/>
    <w:rsid w:val="004B120A"/>
    <w:rsid w:val="004B22DD"/>
    <w:rsid w:val="004B279B"/>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6174"/>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500331"/>
    <w:rsid w:val="00501853"/>
    <w:rsid w:val="005021D2"/>
    <w:rsid w:val="00502444"/>
    <w:rsid w:val="00502A47"/>
    <w:rsid w:val="00502FEF"/>
    <w:rsid w:val="00503658"/>
    <w:rsid w:val="00503ED8"/>
    <w:rsid w:val="005040D1"/>
    <w:rsid w:val="00505561"/>
    <w:rsid w:val="00505C8D"/>
    <w:rsid w:val="00505E7E"/>
    <w:rsid w:val="00506036"/>
    <w:rsid w:val="00506B01"/>
    <w:rsid w:val="00507CE8"/>
    <w:rsid w:val="00510443"/>
    <w:rsid w:val="005107BD"/>
    <w:rsid w:val="00511B8A"/>
    <w:rsid w:val="00512216"/>
    <w:rsid w:val="0051337A"/>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EBC"/>
    <w:rsid w:val="00535F74"/>
    <w:rsid w:val="005375CB"/>
    <w:rsid w:val="00541415"/>
    <w:rsid w:val="00542534"/>
    <w:rsid w:val="005428D8"/>
    <w:rsid w:val="005433B4"/>
    <w:rsid w:val="00545938"/>
    <w:rsid w:val="00545FB8"/>
    <w:rsid w:val="00547C6D"/>
    <w:rsid w:val="005509C0"/>
    <w:rsid w:val="00553305"/>
    <w:rsid w:val="005545F1"/>
    <w:rsid w:val="00555381"/>
    <w:rsid w:val="005554F7"/>
    <w:rsid w:val="005572EA"/>
    <w:rsid w:val="00561564"/>
    <w:rsid w:val="00563361"/>
    <w:rsid w:val="00564AF1"/>
    <w:rsid w:val="0056548D"/>
    <w:rsid w:val="005668B6"/>
    <w:rsid w:val="005673DA"/>
    <w:rsid w:val="00567AD9"/>
    <w:rsid w:val="00572A06"/>
    <w:rsid w:val="00572DA6"/>
    <w:rsid w:val="00573B10"/>
    <w:rsid w:val="0057453D"/>
    <w:rsid w:val="005757C5"/>
    <w:rsid w:val="00575A90"/>
    <w:rsid w:val="00575CB9"/>
    <w:rsid w:val="00575CDA"/>
    <w:rsid w:val="00575D29"/>
    <w:rsid w:val="00577541"/>
    <w:rsid w:val="0058026B"/>
    <w:rsid w:val="00582C54"/>
    <w:rsid w:val="00584432"/>
    <w:rsid w:val="00585C0F"/>
    <w:rsid w:val="0059089E"/>
    <w:rsid w:val="005911B0"/>
    <w:rsid w:val="0059128B"/>
    <w:rsid w:val="005917F7"/>
    <w:rsid w:val="005918F8"/>
    <w:rsid w:val="00591F76"/>
    <w:rsid w:val="00592DA5"/>
    <w:rsid w:val="00593681"/>
    <w:rsid w:val="00593892"/>
    <w:rsid w:val="005942F6"/>
    <w:rsid w:val="00594A33"/>
    <w:rsid w:val="00594D8E"/>
    <w:rsid w:val="00595B1F"/>
    <w:rsid w:val="00595B2B"/>
    <w:rsid w:val="005965EE"/>
    <w:rsid w:val="005A093D"/>
    <w:rsid w:val="005A0BA2"/>
    <w:rsid w:val="005A344E"/>
    <w:rsid w:val="005A42D8"/>
    <w:rsid w:val="005A57D3"/>
    <w:rsid w:val="005A58D0"/>
    <w:rsid w:val="005A58E3"/>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4DD6"/>
    <w:rsid w:val="005C4ED3"/>
    <w:rsid w:val="005C5735"/>
    <w:rsid w:val="005C7B52"/>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398"/>
    <w:rsid w:val="006019C2"/>
    <w:rsid w:val="0060389F"/>
    <w:rsid w:val="00603A3D"/>
    <w:rsid w:val="00605A55"/>
    <w:rsid w:val="00605ED4"/>
    <w:rsid w:val="00606925"/>
    <w:rsid w:val="00607D2C"/>
    <w:rsid w:val="00610099"/>
    <w:rsid w:val="0061042E"/>
    <w:rsid w:val="00611DC6"/>
    <w:rsid w:val="00613787"/>
    <w:rsid w:val="00613DF1"/>
    <w:rsid w:val="00616559"/>
    <w:rsid w:val="00617165"/>
    <w:rsid w:val="006174CA"/>
    <w:rsid w:val="00620D76"/>
    <w:rsid w:val="00621E01"/>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37DA6"/>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D83"/>
    <w:rsid w:val="00653266"/>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48C9"/>
    <w:rsid w:val="006748FC"/>
    <w:rsid w:val="00674A50"/>
    <w:rsid w:val="00675270"/>
    <w:rsid w:val="00675471"/>
    <w:rsid w:val="0067587E"/>
    <w:rsid w:val="00676BB2"/>
    <w:rsid w:val="00677180"/>
    <w:rsid w:val="006775AD"/>
    <w:rsid w:val="00681411"/>
    <w:rsid w:val="00685CAA"/>
    <w:rsid w:val="00686441"/>
    <w:rsid w:val="00686797"/>
    <w:rsid w:val="00687F2A"/>
    <w:rsid w:val="006904A2"/>
    <w:rsid w:val="00691B3D"/>
    <w:rsid w:val="00692034"/>
    <w:rsid w:val="0069217D"/>
    <w:rsid w:val="00692CCA"/>
    <w:rsid w:val="006935A8"/>
    <w:rsid w:val="00693A51"/>
    <w:rsid w:val="006944DF"/>
    <w:rsid w:val="00694E82"/>
    <w:rsid w:val="00694EEE"/>
    <w:rsid w:val="00695639"/>
    <w:rsid w:val="0069570F"/>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03BB"/>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3B93"/>
    <w:rsid w:val="006E4BBF"/>
    <w:rsid w:val="006E6F12"/>
    <w:rsid w:val="006F005D"/>
    <w:rsid w:val="006F1EEE"/>
    <w:rsid w:val="006F47CA"/>
    <w:rsid w:val="006F4ED2"/>
    <w:rsid w:val="006F54ED"/>
    <w:rsid w:val="006F7497"/>
    <w:rsid w:val="007009B4"/>
    <w:rsid w:val="00700B83"/>
    <w:rsid w:val="00700FC1"/>
    <w:rsid w:val="007011AF"/>
    <w:rsid w:val="00701B60"/>
    <w:rsid w:val="0070329E"/>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2B4F"/>
    <w:rsid w:val="00732CE9"/>
    <w:rsid w:val="0073391E"/>
    <w:rsid w:val="00734171"/>
    <w:rsid w:val="0073423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36E0"/>
    <w:rsid w:val="00764091"/>
    <w:rsid w:val="00765BFB"/>
    <w:rsid w:val="00766959"/>
    <w:rsid w:val="00766BD2"/>
    <w:rsid w:val="00767E17"/>
    <w:rsid w:val="007714DC"/>
    <w:rsid w:val="00772448"/>
    <w:rsid w:val="0077278C"/>
    <w:rsid w:val="00773487"/>
    <w:rsid w:val="007734EC"/>
    <w:rsid w:val="007773A8"/>
    <w:rsid w:val="00780237"/>
    <w:rsid w:val="007802C6"/>
    <w:rsid w:val="00782A7A"/>
    <w:rsid w:val="0078332D"/>
    <w:rsid w:val="007839C1"/>
    <w:rsid w:val="00783EDF"/>
    <w:rsid w:val="00784F27"/>
    <w:rsid w:val="0078579B"/>
    <w:rsid w:val="00786281"/>
    <w:rsid w:val="00786FD8"/>
    <w:rsid w:val="00793D32"/>
    <w:rsid w:val="00794160"/>
    <w:rsid w:val="00794281"/>
    <w:rsid w:val="0079460B"/>
    <w:rsid w:val="0079660E"/>
    <w:rsid w:val="007A0B5D"/>
    <w:rsid w:val="007A1CE4"/>
    <w:rsid w:val="007A2609"/>
    <w:rsid w:val="007A391B"/>
    <w:rsid w:val="007A3EAD"/>
    <w:rsid w:val="007A4A33"/>
    <w:rsid w:val="007A4DB8"/>
    <w:rsid w:val="007A52D3"/>
    <w:rsid w:val="007A694E"/>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31B"/>
    <w:rsid w:val="007E3812"/>
    <w:rsid w:val="007E3E0E"/>
    <w:rsid w:val="007E3F6A"/>
    <w:rsid w:val="007E427E"/>
    <w:rsid w:val="007E4931"/>
    <w:rsid w:val="007E5164"/>
    <w:rsid w:val="007E5BD4"/>
    <w:rsid w:val="007E63B6"/>
    <w:rsid w:val="007E7EF1"/>
    <w:rsid w:val="007F04A3"/>
    <w:rsid w:val="007F09D2"/>
    <w:rsid w:val="007F1B5C"/>
    <w:rsid w:val="007F3B99"/>
    <w:rsid w:val="007F3E90"/>
    <w:rsid w:val="007F3F76"/>
    <w:rsid w:val="007F540D"/>
    <w:rsid w:val="007F6EE0"/>
    <w:rsid w:val="007F7905"/>
    <w:rsid w:val="007F7C85"/>
    <w:rsid w:val="00800868"/>
    <w:rsid w:val="00801159"/>
    <w:rsid w:val="00801A44"/>
    <w:rsid w:val="00802765"/>
    <w:rsid w:val="00802C3F"/>
    <w:rsid w:val="008038F7"/>
    <w:rsid w:val="00803DE6"/>
    <w:rsid w:val="008059D7"/>
    <w:rsid w:val="008071E0"/>
    <w:rsid w:val="00807495"/>
    <w:rsid w:val="008109AB"/>
    <w:rsid w:val="00810E3E"/>
    <w:rsid w:val="008116B1"/>
    <w:rsid w:val="008122E0"/>
    <w:rsid w:val="008134C2"/>
    <w:rsid w:val="0081412B"/>
    <w:rsid w:val="008141DD"/>
    <w:rsid w:val="008157FF"/>
    <w:rsid w:val="008168B4"/>
    <w:rsid w:val="00816C09"/>
    <w:rsid w:val="00816EFC"/>
    <w:rsid w:val="00820494"/>
    <w:rsid w:val="008207BE"/>
    <w:rsid w:val="008213BD"/>
    <w:rsid w:val="008213E7"/>
    <w:rsid w:val="008225B4"/>
    <w:rsid w:val="00823F8B"/>
    <w:rsid w:val="0082546A"/>
    <w:rsid w:val="00826274"/>
    <w:rsid w:val="00826B28"/>
    <w:rsid w:val="00826BB2"/>
    <w:rsid w:val="00826F3A"/>
    <w:rsid w:val="00831258"/>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E7C"/>
    <w:rsid w:val="0084602A"/>
    <w:rsid w:val="00847961"/>
    <w:rsid w:val="00847D8A"/>
    <w:rsid w:val="00850820"/>
    <w:rsid w:val="008518A0"/>
    <w:rsid w:val="008526B1"/>
    <w:rsid w:val="008536B2"/>
    <w:rsid w:val="00853D71"/>
    <w:rsid w:val="00854258"/>
    <w:rsid w:val="0085577A"/>
    <w:rsid w:val="00856656"/>
    <w:rsid w:val="00856AAE"/>
    <w:rsid w:val="008574C7"/>
    <w:rsid w:val="00857F0F"/>
    <w:rsid w:val="0086175A"/>
    <w:rsid w:val="00861C28"/>
    <w:rsid w:val="00861D9C"/>
    <w:rsid w:val="00862648"/>
    <w:rsid w:val="00862902"/>
    <w:rsid w:val="00862D86"/>
    <w:rsid w:val="008635E4"/>
    <w:rsid w:val="00864158"/>
    <w:rsid w:val="008661B1"/>
    <w:rsid w:val="00866B36"/>
    <w:rsid w:val="00867572"/>
    <w:rsid w:val="00870FC4"/>
    <w:rsid w:val="008711B5"/>
    <w:rsid w:val="0087159F"/>
    <w:rsid w:val="00872978"/>
    <w:rsid w:val="00873B14"/>
    <w:rsid w:val="0087423F"/>
    <w:rsid w:val="0087474C"/>
    <w:rsid w:val="008758FF"/>
    <w:rsid w:val="008779CD"/>
    <w:rsid w:val="008800CF"/>
    <w:rsid w:val="008802AF"/>
    <w:rsid w:val="0088352F"/>
    <w:rsid w:val="00883C39"/>
    <w:rsid w:val="008845E3"/>
    <w:rsid w:val="008850B1"/>
    <w:rsid w:val="008850FD"/>
    <w:rsid w:val="0088590F"/>
    <w:rsid w:val="00886549"/>
    <w:rsid w:val="00887B66"/>
    <w:rsid w:val="00887E51"/>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C47"/>
    <w:rsid w:val="008A7F33"/>
    <w:rsid w:val="008B01D9"/>
    <w:rsid w:val="008B0235"/>
    <w:rsid w:val="008B048C"/>
    <w:rsid w:val="008B0E4B"/>
    <w:rsid w:val="008B20C0"/>
    <w:rsid w:val="008B23C4"/>
    <w:rsid w:val="008B2454"/>
    <w:rsid w:val="008B38D8"/>
    <w:rsid w:val="008B745B"/>
    <w:rsid w:val="008B7FD4"/>
    <w:rsid w:val="008C05DC"/>
    <w:rsid w:val="008C0D53"/>
    <w:rsid w:val="008C24F7"/>
    <w:rsid w:val="008C261F"/>
    <w:rsid w:val="008C2653"/>
    <w:rsid w:val="008C3577"/>
    <w:rsid w:val="008C3ED1"/>
    <w:rsid w:val="008C3FD8"/>
    <w:rsid w:val="008C504E"/>
    <w:rsid w:val="008C5AA6"/>
    <w:rsid w:val="008C5E2E"/>
    <w:rsid w:val="008C5F96"/>
    <w:rsid w:val="008C5FDC"/>
    <w:rsid w:val="008C6351"/>
    <w:rsid w:val="008C7981"/>
    <w:rsid w:val="008D1E1D"/>
    <w:rsid w:val="008D258A"/>
    <w:rsid w:val="008D2839"/>
    <w:rsid w:val="008D2B2C"/>
    <w:rsid w:val="008D3FB1"/>
    <w:rsid w:val="008D42AE"/>
    <w:rsid w:val="008D5110"/>
    <w:rsid w:val="008D63D6"/>
    <w:rsid w:val="008D6DCD"/>
    <w:rsid w:val="008E01B1"/>
    <w:rsid w:val="008E22AA"/>
    <w:rsid w:val="008E3032"/>
    <w:rsid w:val="008E35E0"/>
    <w:rsid w:val="008E371D"/>
    <w:rsid w:val="008E3802"/>
    <w:rsid w:val="008F0B23"/>
    <w:rsid w:val="008F14F8"/>
    <w:rsid w:val="008F2ADD"/>
    <w:rsid w:val="008F2D79"/>
    <w:rsid w:val="008F3B76"/>
    <w:rsid w:val="008F3EB3"/>
    <w:rsid w:val="008F40BA"/>
    <w:rsid w:val="008F40F3"/>
    <w:rsid w:val="008F5FCE"/>
    <w:rsid w:val="008F7EAC"/>
    <w:rsid w:val="0090010C"/>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4AB1"/>
    <w:rsid w:val="009355F1"/>
    <w:rsid w:val="00935955"/>
    <w:rsid w:val="009360FD"/>
    <w:rsid w:val="00936F58"/>
    <w:rsid w:val="0094089D"/>
    <w:rsid w:val="00945234"/>
    <w:rsid w:val="009454D7"/>
    <w:rsid w:val="00945993"/>
    <w:rsid w:val="00945ACF"/>
    <w:rsid w:val="00945FFC"/>
    <w:rsid w:val="00946116"/>
    <w:rsid w:val="00946D97"/>
    <w:rsid w:val="00947DCA"/>
    <w:rsid w:val="00947EF7"/>
    <w:rsid w:val="0095004A"/>
    <w:rsid w:val="00950970"/>
    <w:rsid w:val="00950FA8"/>
    <w:rsid w:val="00952C34"/>
    <w:rsid w:val="00952F8A"/>
    <w:rsid w:val="009536B8"/>
    <w:rsid w:val="00953D39"/>
    <w:rsid w:val="00955FDB"/>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2DAA"/>
    <w:rsid w:val="00993005"/>
    <w:rsid w:val="00994A3A"/>
    <w:rsid w:val="00994A9D"/>
    <w:rsid w:val="00994FB7"/>
    <w:rsid w:val="00996A9E"/>
    <w:rsid w:val="009A00A8"/>
    <w:rsid w:val="009A0EB6"/>
    <w:rsid w:val="009A1852"/>
    <w:rsid w:val="009A1B3F"/>
    <w:rsid w:val="009A1EB7"/>
    <w:rsid w:val="009A26AD"/>
    <w:rsid w:val="009A2A80"/>
    <w:rsid w:val="009A3E1E"/>
    <w:rsid w:val="009A3F03"/>
    <w:rsid w:val="009A3FB0"/>
    <w:rsid w:val="009A3FE5"/>
    <w:rsid w:val="009A5204"/>
    <w:rsid w:val="009A5EEC"/>
    <w:rsid w:val="009A63C7"/>
    <w:rsid w:val="009A675F"/>
    <w:rsid w:val="009A6CF1"/>
    <w:rsid w:val="009A7713"/>
    <w:rsid w:val="009A778B"/>
    <w:rsid w:val="009B06CD"/>
    <w:rsid w:val="009B0970"/>
    <w:rsid w:val="009B1331"/>
    <w:rsid w:val="009B33AC"/>
    <w:rsid w:val="009B3A58"/>
    <w:rsid w:val="009B5D12"/>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2202"/>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622B"/>
    <w:rsid w:val="009E728D"/>
    <w:rsid w:val="009E773E"/>
    <w:rsid w:val="009E7DE4"/>
    <w:rsid w:val="009F1709"/>
    <w:rsid w:val="009F1BA4"/>
    <w:rsid w:val="009F1E20"/>
    <w:rsid w:val="009F3434"/>
    <w:rsid w:val="009F3A18"/>
    <w:rsid w:val="009F47B8"/>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6D6"/>
    <w:rsid w:val="00A13AEE"/>
    <w:rsid w:val="00A14710"/>
    <w:rsid w:val="00A15352"/>
    <w:rsid w:val="00A1634B"/>
    <w:rsid w:val="00A16949"/>
    <w:rsid w:val="00A17DD2"/>
    <w:rsid w:val="00A200DC"/>
    <w:rsid w:val="00A2161C"/>
    <w:rsid w:val="00A221B3"/>
    <w:rsid w:val="00A2381F"/>
    <w:rsid w:val="00A247B8"/>
    <w:rsid w:val="00A24F51"/>
    <w:rsid w:val="00A251D1"/>
    <w:rsid w:val="00A25681"/>
    <w:rsid w:val="00A261FB"/>
    <w:rsid w:val="00A262A3"/>
    <w:rsid w:val="00A2690C"/>
    <w:rsid w:val="00A269CA"/>
    <w:rsid w:val="00A26B2D"/>
    <w:rsid w:val="00A27687"/>
    <w:rsid w:val="00A27AF2"/>
    <w:rsid w:val="00A30C81"/>
    <w:rsid w:val="00A3190F"/>
    <w:rsid w:val="00A31BEA"/>
    <w:rsid w:val="00A330D5"/>
    <w:rsid w:val="00A33273"/>
    <w:rsid w:val="00A33E85"/>
    <w:rsid w:val="00A34563"/>
    <w:rsid w:val="00A34DD2"/>
    <w:rsid w:val="00A34F20"/>
    <w:rsid w:val="00A35E0B"/>
    <w:rsid w:val="00A3619D"/>
    <w:rsid w:val="00A37A73"/>
    <w:rsid w:val="00A4043A"/>
    <w:rsid w:val="00A40E1F"/>
    <w:rsid w:val="00A41A75"/>
    <w:rsid w:val="00A4237F"/>
    <w:rsid w:val="00A42792"/>
    <w:rsid w:val="00A42B9E"/>
    <w:rsid w:val="00A42F5B"/>
    <w:rsid w:val="00A4396E"/>
    <w:rsid w:val="00A44B5E"/>
    <w:rsid w:val="00A44BF6"/>
    <w:rsid w:val="00A4608E"/>
    <w:rsid w:val="00A4687D"/>
    <w:rsid w:val="00A47905"/>
    <w:rsid w:val="00A506B9"/>
    <w:rsid w:val="00A5072B"/>
    <w:rsid w:val="00A51B8B"/>
    <w:rsid w:val="00A56660"/>
    <w:rsid w:val="00A57211"/>
    <w:rsid w:val="00A60756"/>
    <w:rsid w:val="00A60C5D"/>
    <w:rsid w:val="00A61496"/>
    <w:rsid w:val="00A614D3"/>
    <w:rsid w:val="00A61573"/>
    <w:rsid w:val="00A6172B"/>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792"/>
    <w:rsid w:val="00A8079D"/>
    <w:rsid w:val="00A80CDE"/>
    <w:rsid w:val="00A80E6E"/>
    <w:rsid w:val="00A818DC"/>
    <w:rsid w:val="00A82155"/>
    <w:rsid w:val="00A821E6"/>
    <w:rsid w:val="00A82C83"/>
    <w:rsid w:val="00A82CF0"/>
    <w:rsid w:val="00A833FC"/>
    <w:rsid w:val="00A84C32"/>
    <w:rsid w:val="00A86002"/>
    <w:rsid w:val="00A86603"/>
    <w:rsid w:val="00A90484"/>
    <w:rsid w:val="00A90C33"/>
    <w:rsid w:val="00A92645"/>
    <w:rsid w:val="00A9280C"/>
    <w:rsid w:val="00A93587"/>
    <w:rsid w:val="00A9358B"/>
    <w:rsid w:val="00A94BF0"/>
    <w:rsid w:val="00A957C5"/>
    <w:rsid w:val="00A96994"/>
    <w:rsid w:val="00A97959"/>
    <w:rsid w:val="00A97CE4"/>
    <w:rsid w:val="00AA0A50"/>
    <w:rsid w:val="00AA0B2D"/>
    <w:rsid w:val="00AA1120"/>
    <w:rsid w:val="00AA15C9"/>
    <w:rsid w:val="00AA1B03"/>
    <w:rsid w:val="00AA2FE5"/>
    <w:rsid w:val="00AA3880"/>
    <w:rsid w:val="00AA3B35"/>
    <w:rsid w:val="00AA419A"/>
    <w:rsid w:val="00AA49B2"/>
    <w:rsid w:val="00AA4BB9"/>
    <w:rsid w:val="00AA4C2E"/>
    <w:rsid w:val="00AA5981"/>
    <w:rsid w:val="00AA6A34"/>
    <w:rsid w:val="00AB0B4C"/>
    <w:rsid w:val="00AB1595"/>
    <w:rsid w:val="00AB2D6D"/>
    <w:rsid w:val="00AB3191"/>
    <w:rsid w:val="00AB388F"/>
    <w:rsid w:val="00AB3B7D"/>
    <w:rsid w:val="00AB4C10"/>
    <w:rsid w:val="00AB4CCF"/>
    <w:rsid w:val="00AB5699"/>
    <w:rsid w:val="00AB7D5B"/>
    <w:rsid w:val="00AC169A"/>
    <w:rsid w:val="00AC1F3D"/>
    <w:rsid w:val="00AC1FD2"/>
    <w:rsid w:val="00AC2579"/>
    <w:rsid w:val="00AC39EB"/>
    <w:rsid w:val="00AC3A35"/>
    <w:rsid w:val="00AC3CBD"/>
    <w:rsid w:val="00AC451A"/>
    <w:rsid w:val="00AC4D3F"/>
    <w:rsid w:val="00AC4F05"/>
    <w:rsid w:val="00AC5F9C"/>
    <w:rsid w:val="00AC7A27"/>
    <w:rsid w:val="00AC7AE1"/>
    <w:rsid w:val="00AC7E2C"/>
    <w:rsid w:val="00AC7E66"/>
    <w:rsid w:val="00AD0979"/>
    <w:rsid w:val="00AD2914"/>
    <w:rsid w:val="00AD2C22"/>
    <w:rsid w:val="00AD3F69"/>
    <w:rsid w:val="00AD3F8E"/>
    <w:rsid w:val="00AD539E"/>
    <w:rsid w:val="00AD5B02"/>
    <w:rsid w:val="00AD6F2B"/>
    <w:rsid w:val="00AD7663"/>
    <w:rsid w:val="00AE0151"/>
    <w:rsid w:val="00AE2B81"/>
    <w:rsid w:val="00AE3D60"/>
    <w:rsid w:val="00AE59B2"/>
    <w:rsid w:val="00AE63DC"/>
    <w:rsid w:val="00AE68AC"/>
    <w:rsid w:val="00AE6A8E"/>
    <w:rsid w:val="00AE6EF3"/>
    <w:rsid w:val="00AF032B"/>
    <w:rsid w:val="00AF05EF"/>
    <w:rsid w:val="00AF0FDF"/>
    <w:rsid w:val="00AF1D9C"/>
    <w:rsid w:val="00AF3707"/>
    <w:rsid w:val="00AF4293"/>
    <w:rsid w:val="00AF483F"/>
    <w:rsid w:val="00AF4B4A"/>
    <w:rsid w:val="00AF55CC"/>
    <w:rsid w:val="00AF6D29"/>
    <w:rsid w:val="00AF7050"/>
    <w:rsid w:val="00AF74B8"/>
    <w:rsid w:val="00AF7F42"/>
    <w:rsid w:val="00AF7F60"/>
    <w:rsid w:val="00B00A19"/>
    <w:rsid w:val="00B02266"/>
    <w:rsid w:val="00B0283C"/>
    <w:rsid w:val="00B02B74"/>
    <w:rsid w:val="00B03209"/>
    <w:rsid w:val="00B0346F"/>
    <w:rsid w:val="00B035C0"/>
    <w:rsid w:val="00B04709"/>
    <w:rsid w:val="00B05B6D"/>
    <w:rsid w:val="00B05C09"/>
    <w:rsid w:val="00B06BC5"/>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46968"/>
    <w:rsid w:val="00B503BD"/>
    <w:rsid w:val="00B511EB"/>
    <w:rsid w:val="00B518C0"/>
    <w:rsid w:val="00B51D2C"/>
    <w:rsid w:val="00B52426"/>
    <w:rsid w:val="00B5244C"/>
    <w:rsid w:val="00B536D8"/>
    <w:rsid w:val="00B548D8"/>
    <w:rsid w:val="00B56D6D"/>
    <w:rsid w:val="00B5729A"/>
    <w:rsid w:val="00B57A58"/>
    <w:rsid w:val="00B57A59"/>
    <w:rsid w:val="00B605BB"/>
    <w:rsid w:val="00B60AB9"/>
    <w:rsid w:val="00B61DDC"/>
    <w:rsid w:val="00B62B27"/>
    <w:rsid w:val="00B630BB"/>
    <w:rsid w:val="00B645DA"/>
    <w:rsid w:val="00B663BA"/>
    <w:rsid w:val="00B67603"/>
    <w:rsid w:val="00B6768D"/>
    <w:rsid w:val="00B67BE6"/>
    <w:rsid w:val="00B67E4A"/>
    <w:rsid w:val="00B708DA"/>
    <w:rsid w:val="00B70D43"/>
    <w:rsid w:val="00B71289"/>
    <w:rsid w:val="00B7183A"/>
    <w:rsid w:val="00B7341D"/>
    <w:rsid w:val="00B74B6B"/>
    <w:rsid w:val="00B75217"/>
    <w:rsid w:val="00B75B6F"/>
    <w:rsid w:val="00B80ACF"/>
    <w:rsid w:val="00B8110E"/>
    <w:rsid w:val="00B8218F"/>
    <w:rsid w:val="00B82A05"/>
    <w:rsid w:val="00B84C00"/>
    <w:rsid w:val="00B878D2"/>
    <w:rsid w:val="00B90826"/>
    <w:rsid w:val="00B9091E"/>
    <w:rsid w:val="00B924BD"/>
    <w:rsid w:val="00B926C9"/>
    <w:rsid w:val="00B930B4"/>
    <w:rsid w:val="00B94241"/>
    <w:rsid w:val="00B94F54"/>
    <w:rsid w:val="00B969C0"/>
    <w:rsid w:val="00B96AE6"/>
    <w:rsid w:val="00B9756C"/>
    <w:rsid w:val="00B975AF"/>
    <w:rsid w:val="00B97647"/>
    <w:rsid w:val="00BA07EC"/>
    <w:rsid w:val="00BA12A3"/>
    <w:rsid w:val="00BA1756"/>
    <w:rsid w:val="00BA277C"/>
    <w:rsid w:val="00BA38D4"/>
    <w:rsid w:val="00BA3D28"/>
    <w:rsid w:val="00BA412F"/>
    <w:rsid w:val="00BA4A3F"/>
    <w:rsid w:val="00BA4C96"/>
    <w:rsid w:val="00BA6027"/>
    <w:rsid w:val="00BA714D"/>
    <w:rsid w:val="00BA7E0B"/>
    <w:rsid w:val="00BB10E8"/>
    <w:rsid w:val="00BB2256"/>
    <w:rsid w:val="00BB2FB9"/>
    <w:rsid w:val="00BB3F5B"/>
    <w:rsid w:val="00BB45B4"/>
    <w:rsid w:val="00BB5CC5"/>
    <w:rsid w:val="00BB5D0D"/>
    <w:rsid w:val="00BB642C"/>
    <w:rsid w:val="00BC1222"/>
    <w:rsid w:val="00BC398A"/>
    <w:rsid w:val="00BC3BDC"/>
    <w:rsid w:val="00BC6346"/>
    <w:rsid w:val="00BC7072"/>
    <w:rsid w:val="00BC7E5E"/>
    <w:rsid w:val="00BD0DD6"/>
    <w:rsid w:val="00BD10BD"/>
    <w:rsid w:val="00BD1544"/>
    <w:rsid w:val="00BD233F"/>
    <w:rsid w:val="00BD3228"/>
    <w:rsid w:val="00BD432C"/>
    <w:rsid w:val="00BD4F53"/>
    <w:rsid w:val="00BD56B6"/>
    <w:rsid w:val="00BD5891"/>
    <w:rsid w:val="00BD60B8"/>
    <w:rsid w:val="00BD6411"/>
    <w:rsid w:val="00BD7300"/>
    <w:rsid w:val="00BE05A7"/>
    <w:rsid w:val="00BE0626"/>
    <w:rsid w:val="00BE091B"/>
    <w:rsid w:val="00BE13DD"/>
    <w:rsid w:val="00BE1E4D"/>
    <w:rsid w:val="00BE424B"/>
    <w:rsid w:val="00BE4E23"/>
    <w:rsid w:val="00BE5720"/>
    <w:rsid w:val="00BE61E1"/>
    <w:rsid w:val="00BE6351"/>
    <w:rsid w:val="00BE7417"/>
    <w:rsid w:val="00BF05E5"/>
    <w:rsid w:val="00BF0FDB"/>
    <w:rsid w:val="00BF1BD4"/>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983"/>
    <w:rsid w:val="00C40B8B"/>
    <w:rsid w:val="00C411C2"/>
    <w:rsid w:val="00C42816"/>
    <w:rsid w:val="00C45B6D"/>
    <w:rsid w:val="00C4644F"/>
    <w:rsid w:val="00C466BE"/>
    <w:rsid w:val="00C4761F"/>
    <w:rsid w:val="00C5016A"/>
    <w:rsid w:val="00C50E36"/>
    <w:rsid w:val="00C52442"/>
    <w:rsid w:val="00C52886"/>
    <w:rsid w:val="00C53B1E"/>
    <w:rsid w:val="00C5405B"/>
    <w:rsid w:val="00C54060"/>
    <w:rsid w:val="00C540FC"/>
    <w:rsid w:val="00C54DD9"/>
    <w:rsid w:val="00C55D9F"/>
    <w:rsid w:val="00C563A6"/>
    <w:rsid w:val="00C56BF5"/>
    <w:rsid w:val="00C57026"/>
    <w:rsid w:val="00C57715"/>
    <w:rsid w:val="00C6065C"/>
    <w:rsid w:val="00C612EB"/>
    <w:rsid w:val="00C619D9"/>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EB"/>
    <w:rsid w:val="00C754F5"/>
    <w:rsid w:val="00C76077"/>
    <w:rsid w:val="00C77FDB"/>
    <w:rsid w:val="00C80ADD"/>
    <w:rsid w:val="00C80E37"/>
    <w:rsid w:val="00C820F4"/>
    <w:rsid w:val="00C82CDD"/>
    <w:rsid w:val="00C838DE"/>
    <w:rsid w:val="00C84075"/>
    <w:rsid w:val="00C84193"/>
    <w:rsid w:val="00C846DE"/>
    <w:rsid w:val="00C86CF6"/>
    <w:rsid w:val="00C872D8"/>
    <w:rsid w:val="00C87F73"/>
    <w:rsid w:val="00C90A66"/>
    <w:rsid w:val="00C90D3F"/>
    <w:rsid w:val="00C91483"/>
    <w:rsid w:val="00C93B8D"/>
    <w:rsid w:val="00C93C50"/>
    <w:rsid w:val="00C94CA9"/>
    <w:rsid w:val="00C9543B"/>
    <w:rsid w:val="00C965AA"/>
    <w:rsid w:val="00C969D7"/>
    <w:rsid w:val="00C97B3E"/>
    <w:rsid w:val="00CA0BE1"/>
    <w:rsid w:val="00CA225E"/>
    <w:rsid w:val="00CA269C"/>
    <w:rsid w:val="00CA5B18"/>
    <w:rsid w:val="00CA65CB"/>
    <w:rsid w:val="00CB126A"/>
    <w:rsid w:val="00CB1A96"/>
    <w:rsid w:val="00CB1C40"/>
    <w:rsid w:val="00CB2D20"/>
    <w:rsid w:val="00CB3105"/>
    <w:rsid w:val="00CB3DFD"/>
    <w:rsid w:val="00CB5126"/>
    <w:rsid w:val="00CB5131"/>
    <w:rsid w:val="00CB6240"/>
    <w:rsid w:val="00CC02A1"/>
    <w:rsid w:val="00CC21F0"/>
    <w:rsid w:val="00CC297E"/>
    <w:rsid w:val="00CC2E75"/>
    <w:rsid w:val="00CC3127"/>
    <w:rsid w:val="00CC3843"/>
    <w:rsid w:val="00CC3AC6"/>
    <w:rsid w:val="00CC45F1"/>
    <w:rsid w:val="00CC4A9B"/>
    <w:rsid w:val="00CC51EA"/>
    <w:rsid w:val="00CC540C"/>
    <w:rsid w:val="00CC6205"/>
    <w:rsid w:val="00CC677E"/>
    <w:rsid w:val="00CC7851"/>
    <w:rsid w:val="00CC78E2"/>
    <w:rsid w:val="00CC7BC6"/>
    <w:rsid w:val="00CC7C17"/>
    <w:rsid w:val="00CD25FA"/>
    <w:rsid w:val="00CD489E"/>
    <w:rsid w:val="00CD4970"/>
    <w:rsid w:val="00CD4EEE"/>
    <w:rsid w:val="00CD5D06"/>
    <w:rsid w:val="00CD5F08"/>
    <w:rsid w:val="00CD72B1"/>
    <w:rsid w:val="00CD79D0"/>
    <w:rsid w:val="00CE09C7"/>
    <w:rsid w:val="00CE198D"/>
    <w:rsid w:val="00CE23C6"/>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5FFC"/>
    <w:rsid w:val="00D06A5D"/>
    <w:rsid w:val="00D06BAD"/>
    <w:rsid w:val="00D0718E"/>
    <w:rsid w:val="00D074A1"/>
    <w:rsid w:val="00D1040C"/>
    <w:rsid w:val="00D10503"/>
    <w:rsid w:val="00D10D5E"/>
    <w:rsid w:val="00D10E25"/>
    <w:rsid w:val="00D1160E"/>
    <w:rsid w:val="00D13D5D"/>
    <w:rsid w:val="00D155F6"/>
    <w:rsid w:val="00D15B72"/>
    <w:rsid w:val="00D16444"/>
    <w:rsid w:val="00D165D6"/>
    <w:rsid w:val="00D16F2B"/>
    <w:rsid w:val="00D207B7"/>
    <w:rsid w:val="00D21002"/>
    <w:rsid w:val="00D2157F"/>
    <w:rsid w:val="00D21C28"/>
    <w:rsid w:val="00D22C6D"/>
    <w:rsid w:val="00D24150"/>
    <w:rsid w:val="00D24326"/>
    <w:rsid w:val="00D260AF"/>
    <w:rsid w:val="00D26944"/>
    <w:rsid w:val="00D27079"/>
    <w:rsid w:val="00D33461"/>
    <w:rsid w:val="00D3530A"/>
    <w:rsid w:val="00D3551A"/>
    <w:rsid w:val="00D35DAE"/>
    <w:rsid w:val="00D366AC"/>
    <w:rsid w:val="00D36F05"/>
    <w:rsid w:val="00D36F69"/>
    <w:rsid w:val="00D37104"/>
    <w:rsid w:val="00D41185"/>
    <w:rsid w:val="00D415AE"/>
    <w:rsid w:val="00D41899"/>
    <w:rsid w:val="00D41C86"/>
    <w:rsid w:val="00D42B71"/>
    <w:rsid w:val="00D42D17"/>
    <w:rsid w:val="00D42DAE"/>
    <w:rsid w:val="00D439E1"/>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0FCB"/>
    <w:rsid w:val="00D718B8"/>
    <w:rsid w:val="00D71E77"/>
    <w:rsid w:val="00D7268E"/>
    <w:rsid w:val="00D739AC"/>
    <w:rsid w:val="00D74C78"/>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33E1"/>
    <w:rsid w:val="00D93F93"/>
    <w:rsid w:val="00D9470E"/>
    <w:rsid w:val="00D95201"/>
    <w:rsid w:val="00D957AE"/>
    <w:rsid w:val="00D95C3F"/>
    <w:rsid w:val="00D96E98"/>
    <w:rsid w:val="00DA0DAC"/>
    <w:rsid w:val="00DA201B"/>
    <w:rsid w:val="00DA2062"/>
    <w:rsid w:val="00DA2559"/>
    <w:rsid w:val="00DA3001"/>
    <w:rsid w:val="00DA36ED"/>
    <w:rsid w:val="00DA3C5B"/>
    <w:rsid w:val="00DA3F54"/>
    <w:rsid w:val="00DA459A"/>
    <w:rsid w:val="00DA6994"/>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6A2"/>
    <w:rsid w:val="00DD45C3"/>
    <w:rsid w:val="00DD55ED"/>
    <w:rsid w:val="00DD5769"/>
    <w:rsid w:val="00DD663A"/>
    <w:rsid w:val="00DD684C"/>
    <w:rsid w:val="00DD6B8A"/>
    <w:rsid w:val="00DD708C"/>
    <w:rsid w:val="00DE09B4"/>
    <w:rsid w:val="00DE2E10"/>
    <w:rsid w:val="00DE2F9C"/>
    <w:rsid w:val="00DE38BF"/>
    <w:rsid w:val="00DE4711"/>
    <w:rsid w:val="00DE4A88"/>
    <w:rsid w:val="00DE517A"/>
    <w:rsid w:val="00DE713E"/>
    <w:rsid w:val="00DE7179"/>
    <w:rsid w:val="00DE7531"/>
    <w:rsid w:val="00DF026C"/>
    <w:rsid w:val="00DF0352"/>
    <w:rsid w:val="00DF053A"/>
    <w:rsid w:val="00DF2212"/>
    <w:rsid w:val="00DF3C19"/>
    <w:rsid w:val="00DF4260"/>
    <w:rsid w:val="00DF4512"/>
    <w:rsid w:val="00DF5281"/>
    <w:rsid w:val="00DF5FA7"/>
    <w:rsid w:val="00DF7395"/>
    <w:rsid w:val="00DF7B35"/>
    <w:rsid w:val="00E00D90"/>
    <w:rsid w:val="00E0183D"/>
    <w:rsid w:val="00E01C63"/>
    <w:rsid w:val="00E0389B"/>
    <w:rsid w:val="00E03CED"/>
    <w:rsid w:val="00E05D20"/>
    <w:rsid w:val="00E05F1B"/>
    <w:rsid w:val="00E11057"/>
    <w:rsid w:val="00E113CA"/>
    <w:rsid w:val="00E122C4"/>
    <w:rsid w:val="00E13931"/>
    <w:rsid w:val="00E15C4E"/>
    <w:rsid w:val="00E16062"/>
    <w:rsid w:val="00E170C9"/>
    <w:rsid w:val="00E17D06"/>
    <w:rsid w:val="00E20F98"/>
    <w:rsid w:val="00E21A5B"/>
    <w:rsid w:val="00E22D20"/>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3CB4"/>
    <w:rsid w:val="00E454A2"/>
    <w:rsid w:val="00E458D1"/>
    <w:rsid w:val="00E459FF"/>
    <w:rsid w:val="00E45B81"/>
    <w:rsid w:val="00E46FD1"/>
    <w:rsid w:val="00E501D9"/>
    <w:rsid w:val="00E50600"/>
    <w:rsid w:val="00E50850"/>
    <w:rsid w:val="00E51BBF"/>
    <w:rsid w:val="00E52C06"/>
    <w:rsid w:val="00E52DAD"/>
    <w:rsid w:val="00E5316E"/>
    <w:rsid w:val="00E535D5"/>
    <w:rsid w:val="00E537DB"/>
    <w:rsid w:val="00E53AC8"/>
    <w:rsid w:val="00E5441F"/>
    <w:rsid w:val="00E56DE1"/>
    <w:rsid w:val="00E57807"/>
    <w:rsid w:val="00E57E3F"/>
    <w:rsid w:val="00E60FA4"/>
    <w:rsid w:val="00E61461"/>
    <w:rsid w:val="00E614A0"/>
    <w:rsid w:val="00E61CBE"/>
    <w:rsid w:val="00E6220B"/>
    <w:rsid w:val="00E629C9"/>
    <w:rsid w:val="00E6331D"/>
    <w:rsid w:val="00E63B84"/>
    <w:rsid w:val="00E64389"/>
    <w:rsid w:val="00E654E8"/>
    <w:rsid w:val="00E66CA5"/>
    <w:rsid w:val="00E70218"/>
    <w:rsid w:val="00E70840"/>
    <w:rsid w:val="00E70C4A"/>
    <w:rsid w:val="00E719CA"/>
    <w:rsid w:val="00E71EFF"/>
    <w:rsid w:val="00E723F6"/>
    <w:rsid w:val="00E7504B"/>
    <w:rsid w:val="00E7513A"/>
    <w:rsid w:val="00E75CBA"/>
    <w:rsid w:val="00E75FEB"/>
    <w:rsid w:val="00E776DE"/>
    <w:rsid w:val="00E809C1"/>
    <w:rsid w:val="00E80C5C"/>
    <w:rsid w:val="00E821B8"/>
    <w:rsid w:val="00E84709"/>
    <w:rsid w:val="00E84F31"/>
    <w:rsid w:val="00E851F9"/>
    <w:rsid w:val="00E85F3C"/>
    <w:rsid w:val="00E861EC"/>
    <w:rsid w:val="00E863D4"/>
    <w:rsid w:val="00E86B55"/>
    <w:rsid w:val="00E86B96"/>
    <w:rsid w:val="00E86E6F"/>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023"/>
    <w:rsid w:val="00E9798E"/>
    <w:rsid w:val="00EA0280"/>
    <w:rsid w:val="00EA1514"/>
    <w:rsid w:val="00EA2EF1"/>
    <w:rsid w:val="00EA3247"/>
    <w:rsid w:val="00EA377C"/>
    <w:rsid w:val="00EA3937"/>
    <w:rsid w:val="00EA3BC6"/>
    <w:rsid w:val="00EA3F95"/>
    <w:rsid w:val="00EA5D5B"/>
    <w:rsid w:val="00EA60AF"/>
    <w:rsid w:val="00EA7154"/>
    <w:rsid w:val="00EA717B"/>
    <w:rsid w:val="00EA760A"/>
    <w:rsid w:val="00EA792F"/>
    <w:rsid w:val="00EB04F6"/>
    <w:rsid w:val="00EB0D20"/>
    <w:rsid w:val="00EB1511"/>
    <w:rsid w:val="00EB1F71"/>
    <w:rsid w:val="00EB4180"/>
    <w:rsid w:val="00EB5014"/>
    <w:rsid w:val="00EB531A"/>
    <w:rsid w:val="00EB6DA5"/>
    <w:rsid w:val="00EB72FF"/>
    <w:rsid w:val="00EC0B15"/>
    <w:rsid w:val="00EC1B94"/>
    <w:rsid w:val="00EC275C"/>
    <w:rsid w:val="00EC2F39"/>
    <w:rsid w:val="00EC2FC1"/>
    <w:rsid w:val="00EC336E"/>
    <w:rsid w:val="00EC37F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F11E7"/>
    <w:rsid w:val="00EF1B5C"/>
    <w:rsid w:val="00EF20D8"/>
    <w:rsid w:val="00EF369B"/>
    <w:rsid w:val="00EF3720"/>
    <w:rsid w:val="00EF3FE2"/>
    <w:rsid w:val="00EF4525"/>
    <w:rsid w:val="00EF685F"/>
    <w:rsid w:val="00EF6A96"/>
    <w:rsid w:val="00EF7599"/>
    <w:rsid w:val="00EF78EE"/>
    <w:rsid w:val="00EF7D09"/>
    <w:rsid w:val="00F01680"/>
    <w:rsid w:val="00F0234D"/>
    <w:rsid w:val="00F0314A"/>
    <w:rsid w:val="00F03344"/>
    <w:rsid w:val="00F058B1"/>
    <w:rsid w:val="00F05E86"/>
    <w:rsid w:val="00F067D1"/>
    <w:rsid w:val="00F06D26"/>
    <w:rsid w:val="00F07294"/>
    <w:rsid w:val="00F07E4C"/>
    <w:rsid w:val="00F104E5"/>
    <w:rsid w:val="00F10B5F"/>
    <w:rsid w:val="00F124C0"/>
    <w:rsid w:val="00F12941"/>
    <w:rsid w:val="00F12B1B"/>
    <w:rsid w:val="00F14BD2"/>
    <w:rsid w:val="00F14D7E"/>
    <w:rsid w:val="00F14D8B"/>
    <w:rsid w:val="00F150C7"/>
    <w:rsid w:val="00F153D8"/>
    <w:rsid w:val="00F155E3"/>
    <w:rsid w:val="00F15F1C"/>
    <w:rsid w:val="00F162CE"/>
    <w:rsid w:val="00F1693E"/>
    <w:rsid w:val="00F17B76"/>
    <w:rsid w:val="00F20341"/>
    <w:rsid w:val="00F20741"/>
    <w:rsid w:val="00F20E66"/>
    <w:rsid w:val="00F21A01"/>
    <w:rsid w:val="00F228A7"/>
    <w:rsid w:val="00F2388D"/>
    <w:rsid w:val="00F23BDA"/>
    <w:rsid w:val="00F251CB"/>
    <w:rsid w:val="00F25DD6"/>
    <w:rsid w:val="00F26463"/>
    <w:rsid w:val="00F3044D"/>
    <w:rsid w:val="00F30EE3"/>
    <w:rsid w:val="00F30FD1"/>
    <w:rsid w:val="00F32056"/>
    <w:rsid w:val="00F32343"/>
    <w:rsid w:val="00F32950"/>
    <w:rsid w:val="00F33ED6"/>
    <w:rsid w:val="00F34E9F"/>
    <w:rsid w:val="00F37607"/>
    <w:rsid w:val="00F3793B"/>
    <w:rsid w:val="00F4061B"/>
    <w:rsid w:val="00F42F21"/>
    <w:rsid w:val="00F444F1"/>
    <w:rsid w:val="00F45790"/>
    <w:rsid w:val="00F478D7"/>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1722"/>
    <w:rsid w:val="00F827C8"/>
    <w:rsid w:val="00F82968"/>
    <w:rsid w:val="00F83031"/>
    <w:rsid w:val="00F83E8E"/>
    <w:rsid w:val="00F84A0C"/>
    <w:rsid w:val="00F84DA2"/>
    <w:rsid w:val="00F84EAC"/>
    <w:rsid w:val="00F8549B"/>
    <w:rsid w:val="00F85F0E"/>
    <w:rsid w:val="00F86A4D"/>
    <w:rsid w:val="00F9088D"/>
    <w:rsid w:val="00F90F42"/>
    <w:rsid w:val="00F92220"/>
    <w:rsid w:val="00F9393C"/>
    <w:rsid w:val="00F94204"/>
    <w:rsid w:val="00F9433E"/>
    <w:rsid w:val="00F9491A"/>
    <w:rsid w:val="00F955D0"/>
    <w:rsid w:val="00F97455"/>
    <w:rsid w:val="00F97A0C"/>
    <w:rsid w:val="00FA0499"/>
    <w:rsid w:val="00FA0520"/>
    <w:rsid w:val="00FA09E1"/>
    <w:rsid w:val="00FA0C7F"/>
    <w:rsid w:val="00FA3F35"/>
    <w:rsid w:val="00FA437F"/>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0FB"/>
    <w:rsid w:val="00FD7BEA"/>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DE7"/>
    <w:rsid w:val="00FF3E63"/>
    <w:rsid w:val="00FF5658"/>
    <w:rsid w:val="461A46BC"/>
    <w:rsid w:val="52F000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7146B5"/>
  <w15:docId w15:val="{DA017566-C397-409E-8A74-C90A59781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footer" w:semiHidden="1"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qFormat="1"/>
    <w:lsdException w:name="Strong" w:uiPriority="22" w:qFormat="1"/>
    <w:lsdException w:name="Emphasis" w:uiPriority="20" w:qFormat="1"/>
    <w:lsdException w:name="Document Map" w:semiHidden="1" w:uiPriority="0"/>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2"/>
      <w:szCs w:val="24"/>
      <w:lang w:val="en-GB" w:eastAsia="en-US"/>
    </w:rPr>
  </w:style>
  <w:style w:type="paragraph" w:styleId="berschrift1">
    <w:name w:val="heading 1"/>
    <w:basedOn w:val="Standard"/>
    <w:next w:val="Standard"/>
    <w:qFormat/>
    <w:pPr>
      <w:keepNext/>
      <w:numPr>
        <w:numId w:val="1"/>
      </w:numPr>
      <w:tabs>
        <w:tab w:val="left" w:pos="284"/>
      </w:tabs>
      <w:outlineLvl w:val="0"/>
    </w:pPr>
    <w:rPr>
      <w:b/>
      <w:bCs/>
      <w:u w:val="single"/>
    </w:rPr>
  </w:style>
  <w:style w:type="paragraph" w:styleId="berschrift2">
    <w:name w:val="heading 2"/>
    <w:basedOn w:val="Standard"/>
    <w:next w:val="Standard"/>
    <w:qFormat/>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Pr>
      <w:sz w:val="16"/>
      <w:szCs w:val="16"/>
    </w:rPr>
  </w:style>
  <w:style w:type="character" w:styleId="Hervorhebung">
    <w:name w:val="Emphasis"/>
    <w:basedOn w:val="Absatz-Standardschriftart"/>
    <w:uiPriority w:val="20"/>
    <w:qFormat/>
    <w:rPr>
      <w:i/>
      <w:iCs/>
    </w:rPr>
  </w:style>
  <w:style w:type="character" w:styleId="Hyperlink">
    <w:name w:val="Hyperlink"/>
    <w:basedOn w:val="Absatz-Standardschriftart"/>
    <w:uiPriority w:val="99"/>
    <w:unhideWhenUsed/>
    <w:rPr>
      <w:rFonts w:ascii="Arial" w:hAnsi="Arial" w:cs="Arial" w:hint="default"/>
      <w:color w:val="666666"/>
      <w:sz w:val="18"/>
      <w:szCs w:val="18"/>
      <w:u w:val="single"/>
    </w:rPr>
  </w:style>
  <w:style w:type="character" w:styleId="BesuchterLink">
    <w:name w:val="FollowedHyperlink"/>
    <w:basedOn w:val="Absatz-Standardschriftart"/>
    <w:uiPriority w:val="99"/>
    <w:semiHidden/>
    <w:unhideWhenUsed/>
    <w:qFormat/>
    <w:rPr>
      <w:color w:val="800080" w:themeColor="followedHyperlink"/>
      <w:u w:val="single"/>
    </w:rPr>
  </w:style>
  <w:style w:type="character" w:styleId="Seitenzahl">
    <w:name w:val="page number"/>
    <w:basedOn w:val="Absatz-Standardschriftart"/>
    <w:semiHidden/>
    <w:rPr>
      <w:rFonts w:ascii="Arial" w:hAnsi="Arial"/>
      <w:color w:val="000000"/>
      <w:sz w:val="22"/>
      <w:u w:val="none"/>
      <w:vertAlign w:val="baseline"/>
    </w:rPr>
  </w:style>
  <w:style w:type="character" w:styleId="Fett">
    <w:name w:val="Strong"/>
    <w:basedOn w:val="Absatz-Standardschriftart"/>
    <w:uiPriority w:val="22"/>
    <w:qFormat/>
    <w:rPr>
      <w:b/>
      <w:bCs/>
    </w:rPr>
  </w:style>
  <w:style w:type="paragraph" w:styleId="Dokumentstruktur">
    <w:name w:val="Document Map"/>
    <w:basedOn w:val="Standard"/>
    <w:semiHidden/>
    <w:pPr>
      <w:shd w:val="clear" w:color="auto" w:fill="000080"/>
    </w:pPr>
    <w:rPr>
      <w:rFonts w:ascii="Tahoma" w:hAnsi="Tahoma" w:cs="Tahoma"/>
    </w:rPr>
  </w:style>
  <w:style w:type="paragraph" w:styleId="Kommentarthema">
    <w:name w:val="annotation subject"/>
    <w:basedOn w:val="Kommentartext"/>
    <w:next w:val="Kommentartext"/>
    <w:link w:val="KommentarthemaZchn"/>
    <w:uiPriority w:val="99"/>
    <w:semiHidden/>
    <w:unhideWhenUsed/>
    <w:qFormat/>
    <w:rPr>
      <w:b/>
      <w:bCs/>
    </w:rPr>
  </w:style>
  <w:style w:type="paragraph" w:styleId="Kommentartext">
    <w:name w:val="annotation text"/>
    <w:basedOn w:val="Standard"/>
    <w:link w:val="KommentartextZchn"/>
    <w:uiPriority w:val="99"/>
    <w:semiHidden/>
    <w:unhideWhenUsed/>
    <w:rPr>
      <w:sz w:val="20"/>
      <w:szCs w:val="20"/>
    </w:rPr>
  </w:style>
  <w:style w:type="paragraph" w:styleId="Sprechblasentext">
    <w:name w:val="Balloon Text"/>
    <w:basedOn w:val="Standard"/>
    <w:link w:val="SprechblasentextZchn"/>
    <w:uiPriority w:val="99"/>
    <w:semiHidden/>
    <w:unhideWhenUsed/>
    <w:qFormat/>
    <w:rPr>
      <w:rFonts w:ascii="Tahoma" w:hAnsi="Tahoma" w:cs="Tahoma"/>
      <w:sz w:val="16"/>
      <w:szCs w:val="16"/>
    </w:rPr>
  </w:style>
  <w:style w:type="paragraph" w:styleId="Textkrper2">
    <w:name w:val="Body Text 2"/>
    <w:next w:val="Einleitung"/>
    <w:link w:val="Textkrper2Zchn"/>
    <w:uiPriority w:val="99"/>
    <w:semiHidden/>
    <w:unhideWhenUsed/>
    <w:qFormat/>
    <w:pPr>
      <w:spacing w:after="120" w:line="480" w:lineRule="auto"/>
    </w:pPr>
    <w:rPr>
      <w:lang w:val="en-GB" w:eastAsia="de-DE"/>
    </w:rPr>
  </w:style>
  <w:style w:type="paragraph" w:customStyle="1" w:styleId="Einleitung">
    <w:name w:val="Einleitung"/>
    <w:basedOn w:val="Standard"/>
    <w:qFormat/>
    <w:pPr>
      <w:overflowPunct w:val="0"/>
      <w:autoSpaceDE w:val="0"/>
      <w:autoSpaceDN w:val="0"/>
      <w:adjustRightInd w:val="0"/>
      <w:textAlignment w:val="baseline"/>
    </w:pPr>
    <w:rPr>
      <w:b/>
      <w:bCs/>
      <w:color w:val="auto"/>
      <w:szCs w:val="20"/>
      <w:lang w:eastAsia="de-DE"/>
    </w:rPr>
  </w:style>
  <w:style w:type="paragraph" w:styleId="Kopfzeile">
    <w:name w:val="header"/>
    <w:basedOn w:val="Standard"/>
    <w:link w:val="KopfzeileZchn"/>
    <w:uiPriority w:val="99"/>
    <w:pPr>
      <w:tabs>
        <w:tab w:val="center" w:pos="4536"/>
        <w:tab w:val="right" w:pos="9072"/>
      </w:tabs>
    </w:pPr>
  </w:style>
  <w:style w:type="paragraph" w:styleId="StandardWeb">
    <w:name w:val="Normal (Web)"/>
    <w:basedOn w:val="Standard"/>
    <w:uiPriority w:val="99"/>
    <w:unhideWhenUsed/>
    <w:pPr>
      <w:spacing w:before="100" w:beforeAutospacing="1" w:after="100" w:afterAutospacing="1"/>
    </w:pPr>
    <w:rPr>
      <w:rFonts w:ascii="Times New Roman" w:hAnsi="Times New Roman"/>
      <w:color w:val="auto"/>
      <w:sz w:val="24"/>
    </w:rPr>
  </w:style>
  <w:style w:type="paragraph" w:styleId="Fuzeile">
    <w:name w:val="footer"/>
    <w:basedOn w:val="Standard"/>
    <w:semiHidden/>
    <w:qFormat/>
    <w:pPr>
      <w:tabs>
        <w:tab w:val="center" w:pos="4536"/>
        <w:tab w:val="right" w:pos="9072"/>
      </w:tabs>
    </w:pPr>
  </w:style>
  <w:style w:type="character" w:customStyle="1" w:styleId="KommentartextZchn">
    <w:name w:val="Kommentartext Zchn"/>
    <w:basedOn w:val="Absatz-Standardschriftart"/>
    <w:link w:val="Kommentartext"/>
    <w:uiPriority w:val="99"/>
    <w:semiHidden/>
    <w:rPr>
      <w:rFonts w:ascii="Arial" w:hAnsi="Arial"/>
      <w:color w:val="000000"/>
      <w:lang w:val="en-GB"/>
    </w:rPr>
  </w:style>
  <w:style w:type="character" w:customStyle="1" w:styleId="KommentarthemaZchn">
    <w:name w:val="Kommentarthema Zchn"/>
    <w:basedOn w:val="KommentartextZchn"/>
    <w:link w:val="Kommentarthema"/>
    <w:uiPriority w:val="99"/>
    <w:semiHidden/>
    <w:rPr>
      <w:rFonts w:ascii="Arial" w:hAnsi="Arial"/>
      <w:b/>
      <w:bCs/>
      <w:color w:val="000000"/>
      <w:lang w:val="en-GB"/>
    </w:rPr>
  </w:style>
  <w:style w:type="paragraph" w:customStyle="1" w:styleId="Revision1">
    <w:name w:val="Revision1"/>
    <w:hidden/>
    <w:uiPriority w:val="99"/>
    <w:semiHidden/>
    <w:qFormat/>
    <w:rPr>
      <w:rFonts w:ascii="Arial" w:hAnsi="Arial"/>
      <w:color w:val="000000"/>
      <w:sz w:val="22"/>
      <w:szCs w:val="24"/>
      <w:lang w:val="en-GB" w:eastAsia="en-US"/>
    </w:rPr>
  </w:style>
  <w:style w:type="character" w:customStyle="1" w:styleId="SprechblasentextZchn">
    <w:name w:val="Sprechblasentext Zchn"/>
    <w:basedOn w:val="Absatz-Standardschriftart"/>
    <w:link w:val="Sprechblasentext"/>
    <w:uiPriority w:val="99"/>
    <w:semiHidden/>
    <w:rPr>
      <w:rFonts w:ascii="Tahoma" w:hAnsi="Tahoma" w:cs="Tahoma"/>
      <w:color w:val="000000"/>
      <w:sz w:val="16"/>
      <w:szCs w:val="16"/>
      <w:lang w:val="en-GB"/>
    </w:rPr>
  </w:style>
  <w:style w:type="character" w:customStyle="1" w:styleId="KopfzeileZchn">
    <w:name w:val="Kopfzeile Zchn"/>
    <w:basedOn w:val="Absatz-Standardschriftart"/>
    <w:link w:val="Kopfzeile"/>
    <w:uiPriority w:val="99"/>
    <w:locked/>
    <w:rPr>
      <w:rFonts w:ascii="Arial" w:hAnsi="Arial"/>
      <w:color w:val="000000"/>
      <w:sz w:val="22"/>
      <w:szCs w:val="24"/>
      <w:lang w:eastAsia="en-US"/>
    </w:rPr>
  </w:style>
  <w:style w:type="paragraph" w:styleId="Listenabsatz">
    <w:name w:val="List Paragraph"/>
    <w:basedOn w:val="Standard"/>
    <w:uiPriority w:val="34"/>
    <w:qFormat/>
    <w:pPr>
      <w:ind w:left="720"/>
      <w:contextualSpacing/>
    </w:pPr>
  </w:style>
  <w:style w:type="paragraph" w:customStyle="1" w:styleId="bodytext">
    <w:name w:val="bodytext"/>
    <w:basedOn w:val="Standard"/>
    <w:pPr>
      <w:spacing w:before="100" w:beforeAutospacing="1" w:after="100" w:afterAutospacing="1"/>
    </w:pPr>
    <w:rPr>
      <w:rFonts w:ascii="Times New Roman" w:hAnsi="Times New Roman"/>
      <w:color w:val="auto"/>
      <w:sz w:val="24"/>
    </w:rPr>
  </w:style>
  <w:style w:type="character" w:customStyle="1" w:styleId="Textkrper2Zchn">
    <w:name w:val="Textkörper 2 Zchn"/>
    <w:basedOn w:val="Absatz-Standardschriftart"/>
    <w:link w:val="Textkrper2"/>
    <w:uiPriority w:val="99"/>
    <w:semiHidden/>
    <w:rPr>
      <w:rFonts w:ascii="Arial" w:hAnsi="Arial"/>
      <w:color w:val="000000"/>
      <w:sz w:val="22"/>
      <w:szCs w:val="24"/>
      <w:lang w:eastAsia="en-US"/>
    </w:rPr>
  </w:style>
  <w:style w:type="paragraph" w:customStyle="1" w:styleId="BasicParagraph">
    <w:name w:val="[Basic Paragraph]"/>
    <w:basedOn w:val="Standard"/>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Pr>
      <w:rFonts w:ascii="Arial" w:hAnsi="Arial"/>
      <w:bCs/>
      <w:color w:val="000000"/>
      <w:sz w:val="22"/>
      <w:szCs w:val="24"/>
      <w:u w:val="single"/>
      <w:lang w:val="en-GB" w:eastAsia="en-US"/>
    </w:rPr>
  </w:style>
  <w:style w:type="paragraph" w:customStyle="1" w:styleId="FactsSubline">
    <w:name w:val="Facts Subline"/>
    <w:basedOn w:val="Standard"/>
    <w:uiPriority w:val="99"/>
    <w:pPr>
      <w:autoSpaceDE w:val="0"/>
      <w:autoSpaceDN w:val="0"/>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Pr>
      <w:rFonts w:ascii="Arial" w:hAnsi="Arial"/>
      <w:color w:val="000000"/>
      <w:sz w:val="22"/>
    </w:rPr>
  </w:style>
  <w:style w:type="character" w:customStyle="1" w:styleId="shorttext">
    <w:name w:val="short_text"/>
    <w:basedOn w:val="Absatz-Standardschriftart"/>
  </w:style>
  <w:style w:type="character" w:customStyle="1" w:styleId="mandatory">
    <w:name w:val="mandatory"/>
    <w:basedOn w:val="Absatz-Standardschriftart"/>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www.doka.com/bauma"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jpeg"/><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DB219D847ADB94C844CA4A24BCCF7C6" ma:contentTypeVersion="14" ma:contentTypeDescription="Create a new document." ma:contentTypeScope="" ma:versionID="5d327c289b35d4f8d559b38dbf82a400">
  <xsd:schema xmlns:xsd="http://www.w3.org/2001/XMLSchema" xmlns:xs="http://www.w3.org/2001/XMLSchema" xmlns:p="http://schemas.microsoft.com/office/2006/metadata/properties" xmlns:ns3="efbf1008-c7f3-427b-a252-3a9a1b77cdfa" xmlns:ns4="531202db-d9b3-47ce-a8c8-6853b41e2c7b" targetNamespace="http://schemas.microsoft.com/office/2006/metadata/properties" ma:root="true" ma:fieldsID="3811c15ac327cab2d534536b635f7ed7" ns3:_="" ns4:_="">
    <xsd:import namespace="efbf1008-c7f3-427b-a252-3a9a1b77cdfa"/>
    <xsd:import namespace="531202db-d9b3-47ce-a8c8-6853b41e2c7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bf1008-c7f3-427b-a252-3a9a1b77cd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31202db-d9b3-47ce-a8c8-6853b41e2c7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s:customData xmlns="http://www.wps.cn/officeDocument/2013/wpsCustomData" xmlns:s="http://www.wps.cn/officeDocument/2013/wpsCustomData">
  <customSectProps>
    <customSectPr/>
  </customSectProps>
</s:customDat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0EA06F-F444-4BC8-B4BE-7B99FE84E7E3}">
  <ds:schemaRefs>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efbf1008-c7f3-427b-a252-3a9a1b77cdfa"/>
    <ds:schemaRef ds:uri="http://purl.org/dc/dcmitype/"/>
    <ds:schemaRef ds:uri="http://schemas.microsoft.com/office/infopath/2007/PartnerControls"/>
    <ds:schemaRef ds:uri="531202db-d9b3-47ce-a8c8-6853b41e2c7b"/>
    <ds:schemaRef ds:uri="http://www.w3.org/XML/1998/namespace"/>
    <ds:schemaRef ds:uri="http://purl.org/dc/terms/"/>
  </ds:schemaRefs>
</ds:datastoreItem>
</file>

<file path=customXml/itemProps2.xml><?xml version="1.0" encoding="utf-8"?>
<ds:datastoreItem xmlns:ds="http://schemas.openxmlformats.org/officeDocument/2006/customXml" ds:itemID="{437737B0-4868-48F3-98A8-A299551B3D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bf1008-c7f3-427b-a252-3a9a1b77cdfa"/>
    <ds:schemaRef ds:uri="531202db-d9b3-47ce-a8c8-6853b41e2c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305B9585-D071-420F-8F97-91F7C34F4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1927</Words>
  <Characters>10487</Characters>
  <Application>Microsoft Office Word</Application>
  <DocSecurity>0</DocSecurity>
  <Lines>87</Lines>
  <Paragraphs>24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Umdasch Group</Company>
  <LinksUpToDate>false</LinksUpToDate>
  <CharactersWithSpaces>12390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Fuker Michael</dc:creator>
  <cp:lastModifiedBy>Plaimer Sarah</cp:lastModifiedBy>
  <cp:revision>5</cp:revision>
  <cp:lastPrinted>2022-07-07T12:20:00Z</cp:lastPrinted>
  <dcterms:created xsi:type="dcterms:W3CDTF">2022-07-06T10:52:00Z</dcterms:created>
  <dcterms:modified xsi:type="dcterms:W3CDTF">2022-07-07T12:20:00Z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0x010100FDB219D847ADB94C844CA4A24BCCF7C6</vt:lpwstr>
  </property>
  <property fmtid="{D5CDD505-2E9C-101B-9397-08002B2CF9AE}" pid="3" name="KSOProductBuildVer">
    <vt:lpwstr>3082-11.2.0.10451</vt:lpwstr>
  </property>
  <property fmtid="{D5CDD505-2E9C-101B-9397-08002B2CF9AE}" pid="4" name="ICV">
    <vt:lpwstr>2E2FA9999BEA40E48B9B6E40E8AF261C</vt:lpwstr>
  </property>
</Properties>
</file>