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4472FF" w:rsidRPr="002057F9" w:rsidRDefault="004472FF" w:rsidP="004472FF">
      <w:pPr>
        <w:rPr>
          <w:b/>
          <w:sz w:val="28"/>
          <w:szCs w:val="28"/>
        </w:rPr>
      </w:pPr>
      <w:r>
        <w:rPr>
          <w:b/>
          <w:sz w:val="28"/>
          <w:szCs w:val="28"/>
        </w:rPr>
        <w:t>Maailmanlaajuisia suurhankkeita infrastruktuurin parantamiseksi</w:t>
      </w:r>
    </w:p>
    <w:p w:rsidR="004472FF" w:rsidRPr="00244A7C" w:rsidRDefault="004472FF" w:rsidP="004472FF"/>
    <w:p w:rsidR="004472FF" w:rsidRPr="00DF2B71" w:rsidRDefault="004472FF" w:rsidP="004472FF">
      <w:pPr>
        <w:rPr>
          <w:b/>
          <w:sz w:val="24"/>
        </w:rPr>
      </w:pPr>
      <w:r>
        <w:rPr>
          <w:b/>
          <w:sz w:val="24"/>
        </w:rPr>
        <w:t>Yleismaailmalliset kehityssuuntaukset kuten kaupungistuminen ja väestönkasvu ovat tärkeitä eteenpäin ajavia voimia rakennusalan innovaatioille. Infrastruktuurihaasteisiin vastaaminen - etenkin megakaupungeissa - edellyttää tulevaisuudessa rakennusprosessien huomattavaa tehostamista. Dokan asiantuntemuksella toteutetaan infrastruktuurihankkeita jo tänään huomispäivän maailmalle.</w:t>
      </w:r>
    </w:p>
    <w:p w:rsidR="004472FF" w:rsidRPr="00244A7C" w:rsidRDefault="004472FF" w:rsidP="004472FF"/>
    <w:p w:rsidR="004472FF" w:rsidRPr="002057F9" w:rsidRDefault="004472FF" w:rsidP="004472FF">
      <w:pPr>
        <w:rPr>
          <w:rFonts w:cs="Arial"/>
          <w:szCs w:val="22"/>
        </w:rPr>
      </w:pPr>
      <w:r>
        <w:rPr>
          <w:rFonts w:cs="Arial"/>
          <w:szCs w:val="22"/>
        </w:rPr>
        <w:t>Maailmanlaajuisesti investoidaan infrastruktuuriin vuosittain 2,5 miljardia Yhdysvaltojen dollaria (USD). Tämä ei kuitenkaan ole läheskään tarpeeksi, kuten McKinsey Global Instituten (McKinsey&amp;Company) kesäkuussa 2016 valmistunut tutkimus osoittaa. Tämän päivän näkökulmasta katsottuna tarve olisi vuosittain 3,3 miljardia Yhdysvaltain dollaria vuoteen 2030 mennessä, mikäli aiotaan pysyä väestönkasvun, kaupungistumisen ja väestörakenteen muutoksen kehityksen rinnalla. Kyseisen vajeen korjaaminen edellyttää useampia eri ratkaisuja niin poliittisten kuin taloudellisten vaikuttajien taholta. Siihen tarvitaan ennen kaikkea myös rakennusalaa. Yksi vipuvoima on tuottavuuden parantaminen infrastruktuurihankkeiden rakentamisessa. Rakennusaikojen lyheneminen pienentää samalla myös investointien tarvetta.</w:t>
      </w:r>
    </w:p>
    <w:p w:rsidR="004472FF" w:rsidRPr="002057F9" w:rsidRDefault="004472FF" w:rsidP="004472FF">
      <w:pPr>
        <w:rPr>
          <w:rFonts w:cs="Arial"/>
          <w:szCs w:val="22"/>
        </w:rPr>
      </w:pPr>
    </w:p>
    <w:p w:rsidR="004472FF" w:rsidRPr="002057F9" w:rsidRDefault="004472FF" w:rsidP="004472FF">
      <w:pPr>
        <w:rPr>
          <w:rFonts w:cs="Arial"/>
          <w:b/>
          <w:szCs w:val="22"/>
        </w:rPr>
      </w:pPr>
      <w:r>
        <w:rPr>
          <w:rFonts w:cs="Arial"/>
          <w:b/>
          <w:szCs w:val="22"/>
        </w:rPr>
        <w:t xml:space="preserve">Innovaatioita infrastruktuurin parantamiseksi </w:t>
      </w:r>
    </w:p>
    <w:p w:rsidR="004472FF" w:rsidRPr="002057F9" w:rsidRDefault="004472FF" w:rsidP="004472FF">
      <w:pPr>
        <w:rPr>
          <w:rFonts w:cs="Arial"/>
          <w:szCs w:val="22"/>
        </w:rPr>
      </w:pPr>
      <w:r>
        <w:rPr>
          <w:rFonts w:cs="Arial"/>
          <w:szCs w:val="22"/>
        </w:rPr>
        <w:t>Rakennusalalla on yleisesti edelleen valtavasti piilevää potentiaalia: Erään tutkimuksen mukaan noin 57% rakennuksella tehdyistä töistä on lisäarvoa tuottamatonta - johtuen tehottomuudesta, virheistä, puutteellisesta kommunikaatiosta. Tarkasteltaessa tuottavuuden kehitystä rakennusalalla tärkeissä teollisuusmaissa kuten Saksassa, Iso-Britanniassa ja Yhdysvalloissa, voidaan todeta, että se on viimeisten kahdenkymmenen vuoden kuluessa pysähtynyt tai jopa laskenut, kuten McKinsey Global Institute tutkimus osoittaa. Rakennusteollisuuden alihankkijana Doka Group panostaa merkittävästi tuottavuuden lisäämiseen alalla ja siten myös infrastruktuurihankkeissa. Tämä kansainvälinen muottiasiantuntija Itävallasta on asettanut päämääräkseen vaikuttaa jatkossa koko rakennusprosessin tehostamiseen - suunnittelusta ja rakentamisesta aina kunnossapitoon ja kohteiden hävittämiseen asti. Tätä silmällä pitäen onkin jo otettu muutamia ratkaisevia askeleita. Yrityksessä keskitytään innovatiivisiin teknologioihin, rakennusaineisiin ja -menetelmiin. Lisäksi se pyrkii jatkuvasti laajentamaan asiantuntemustaan, kuten viimeksi ostamalla hollantilaisen teknologiayrityksen B|A|S. Näin Doka vie muutoksia rakentamisessa aktiivisesti eteenpäin - tehokkuuden ja taloudellisuuden lisäämiseksi.</w:t>
      </w:r>
    </w:p>
    <w:p w:rsidR="004472FF" w:rsidRPr="002057F9" w:rsidRDefault="004472FF" w:rsidP="004472FF">
      <w:pPr>
        <w:rPr>
          <w:rFonts w:cs="Arial"/>
          <w:i/>
          <w:szCs w:val="22"/>
        </w:rPr>
      </w:pPr>
    </w:p>
    <w:p w:rsidR="004472FF" w:rsidRPr="002057F9" w:rsidRDefault="004472FF" w:rsidP="004472FF">
      <w:pPr>
        <w:rPr>
          <w:rFonts w:cs="Arial"/>
          <w:i/>
          <w:szCs w:val="22"/>
        </w:rPr>
      </w:pPr>
      <w:r>
        <w:rPr>
          <w:rFonts w:cs="Arial"/>
          <w:i/>
          <w:szCs w:val="22"/>
        </w:rPr>
        <w:t xml:space="preserve">Seuraavat kansainväliset hankkeet todistavat, miten Doka toteuttaa suunnitelmiaan: </w:t>
      </w:r>
    </w:p>
    <w:p w:rsidR="004472FF" w:rsidRPr="002057F9" w:rsidRDefault="004472FF" w:rsidP="004472FF">
      <w:pPr>
        <w:rPr>
          <w:rFonts w:cs="Arial"/>
          <w:szCs w:val="22"/>
        </w:rPr>
      </w:pPr>
    </w:p>
    <w:p w:rsidR="004472FF" w:rsidRPr="002057F9" w:rsidRDefault="004472FF" w:rsidP="004472FF">
      <w:pPr>
        <w:rPr>
          <w:rFonts w:cs="Arial"/>
          <w:b/>
          <w:szCs w:val="22"/>
        </w:rPr>
      </w:pPr>
      <w:r>
        <w:rPr>
          <w:rFonts w:cs="Arial"/>
          <w:b/>
          <w:szCs w:val="22"/>
        </w:rPr>
        <w:t>Grazin kehätie - Tärkeä infrastruktuurihanke Itävallassa (AUT)</w:t>
      </w:r>
    </w:p>
    <w:p w:rsidR="004472FF" w:rsidRPr="002057F9" w:rsidRDefault="004472FF" w:rsidP="004472FF">
      <w:pPr>
        <w:rPr>
          <w:rFonts w:cs="Arial"/>
          <w:szCs w:val="22"/>
        </w:rPr>
      </w:pPr>
      <w:r>
        <w:rPr>
          <w:rFonts w:cs="Arial"/>
          <w:szCs w:val="22"/>
        </w:rPr>
        <w:t>Grazin eteläinen kehätie on osa Itävallan tärkeää infrastruktuurihanketta, joka valmistuu vuoden 2017 kuluessa. Suurelta osin maanalaisesti kulkeva reitti on kahden kilometrin pituinen nelikaistainen kehätie, josta 1,4 km on tunnelia. Ympäristöä rasittavat ruuhkat kuuluvat pian menneisyyteen. DokaCC siltamuottivaunu yhdistettynä Concremoteen, Dokan digitaaliseen betoninseurantateknologiaan varmisti pysymisen tiiviissä viiden päivän ja 12 metrin tahdissa.</w:t>
      </w:r>
    </w:p>
    <w:p w:rsidR="004472FF" w:rsidRPr="002057F9" w:rsidRDefault="004472FF" w:rsidP="004472FF">
      <w:pPr>
        <w:rPr>
          <w:rFonts w:cs="Arial"/>
          <w:szCs w:val="22"/>
          <w:highlight w:val="cyan"/>
        </w:rPr>
      </w:pPr>
    </w:p>
    <w:p w:rsidR="00013F4C" w:rsidRPr="002057F9" w:rsidRDefault="00013F4C" w:rsidP="00013F4C">
      <w:pPr>
        <w:rPr>
          <w:rFonts w:cs="Arial"/>
          <w:b/>
          <w:szCs w:val="22"/>
        </w:rPr>
      </w:pPr>
      <w:r>
        <w:rPr>
          <w:rFonts w:cs="Arial"/>
          <w:b/>
          <w:szCs w:val="22"/>
        </w:rPr>
        <w:t>Muskrat Falls – Ekstraluokan vesivoimahanke (CAN)</w:t>
      </w:r>
    </w:p>
    <w:p w:rsidR="00F7122E" w:rsidRPr="00A2236F" w:rsidRDefault="00F7122E" w:rsidP="00F7122E">
      <w:r>
        <w:rPr>
          <w:rFonts w:cs="Arial"/>
        </w:rPr>
        <w:t xml:space="preserve">Halkeamien ja niiden aiheuttamien vuotojen välttäminen on ehdoton edellytys vesivoimalaitoksen rakentamiselle. Tämä koskee myös Kanadaan rakennettavaa 824 MW </w:t>
      </w:r>
      <w:r>
        <w:rPr>
          <w:rFonts w:cs="Arial"/>
        </w:rPr>
        <w:lastRenderedPageBreak/>
        <w:t xml:space="preserve">Muskrat Falls vesivoimalaitosta, joka tulee toimittamaan sähkön Labradorin ja Newfoundlandin provinsseille. Poikkeuksellisen ankarat sääolosuhteet asettivat siellä erityisen suuren haasteen. Betonitöiden aikana rakennustyömaalla vallitsevat lämpötilat vaihtelivat -40 C asteesta talvella +30 C asteeseen kesällä. </w:t>
      </w:r>
      <w:r>
        <w:t>Satojen mittausten avulla Concremote - Dokan uusi betoninseurantateknologia - valvoi lämpötiloja betonista luotettavasti paikan päällä ja siten varmisti laadun massabetonissa.</w:t>
      </w:r>
      <w:r>
        <w:rPr>
          <w:rFonts w:cs="Arial"/>
        </w:rPr>
        <w:t xml:space="preserve"> Lämpötilan kehityksen mittaus on tärkeää lämpötilaerojen aiheuttamien jännitysten havaitsemiseksi rakenteessa. Näin voidaan ehkäistä betonin halkeilua ja myöhemmin syntyviä rakennevaurioita. </w:t>
      </w:r>
    </w:p>
    <w:p w:rsidR="00260E70" w:rsidRPr="002057F9" w:rsidRDefault="00260E70" w:rsidP="004472FF">
      <w:pPr>
        <w:rPr>
          <w:rFonts w:cs="Arial"/>
          <w:szCs w:val="22"/>
        </w:rPr>
      </w:pPr>
    </w:p>
    <w:p w:rsidR="004472FF" w:rsidRPr="002057F9" w:rsidRDefault="004472FF" w:rsidP="00A53906">
      <w:pPr>
        <w:ind w:right="-142"/>
        <w:rPr>
          <w:rFonts w:cs="Arial"/>
          <w:b/>
          <w:szCs w:val="22"/>
        </w:rPr>
      </w:pPr>
      <w:r>
        <w:rPr>
          <w:rFonts w:cs="Arial"/>
          <w:b/>
          <w:szCs w:val="22"/>
        </w:rPr>
        <w:t>Three World Trade Center – New York sai 260.000 m² lisää infrastruktuuria (USA)</w:t>
      </w:r>
    </w:p>
    <w:p w:rsidR="004472FF" w:rsidRPr="002057F9" w:rsidRDefault="001A4D73" w:rsidP="004472FF">
      <w:pPr>
        <w:rPr>
          <w:rFonts w:cs="Arial"/>
          <w:szCs w:val="22"/>
        </w:rPr>
      </w:pPr>
      <w:r>
        <w:rPr>
          <w:rFonts w:cs="Arial"/>
          <w:szCs w:val="22"/>
        </w:rPr>
        <w:t>80-kerroksinen Tower 3 rakennettiin keskelle entistä Ground Zero aluetta. Doka Super Climber SCP, Dokan nopea itsekiipeävä muottijärjestelmä Pohjois-Amerikan markkinoita varten, toimi erittäin tehokkaasti ja sen ansiosta muotitusajat pysyivät mahdollisimman lyhyinä. Dokan muottiasiantuntijat olivat mukana jo suunnitteluvaiheessa ja pystyivät siten ajoissa määrittelemään optimaalisen muottiratkaisun. Myös Dokan toimittamat turvallisuusratkaisut olivat huippuluokkaa, sillä asennetut suojajärjestelmät ylittivät New Yorkin kaupungin, New Jerseyn ja  New Yorkin satamaviranomaisten rakennusmääräysten vaatimukset. Arkkitehti Richard Rogersin suunnittelema pilvenpiirtäjä tarjoaa yli 260.000 m² toimisto- ja liiketilaa. Myös Tower 2 ja 4 rakentamiseen käytettiin Dokan muottiratkaisuja.</w:t>
      </w:r>
    </w:p>
    <w:p w:rsidR="004472FF" w:rsidRPr="002057F9" w:rsidRDefault="004472FF" w:rsidP="004472FF">
      <w:pPr>
        <w:rPr>
          <w:rFonts w:cs="Arial"/>
          <w:szCs w:val="22"/>
        </w:rPr>
      </w:pPr>
    </w:p>
    <w:p w:rsidR="004472FF" w:rsidRPr="002057F9" w:rsidRDefault="004472FF" w:rsidP="00947507">
      <w:pPr>
        <w:ind w:right="-426"/>
        <w:rPr>
          <w:rFonts w:cs="Arial"/>
          <w:b/>
          <w:szCs w:val="22"/>
        </w:rPr>
      </w:pPr>
      <w:r>
        <w:rPr>
          <w:rFonts w:cs="Arial"/>
          <w:b/>
          <w:szCs w:val="22"/>
        </w:rPr>
        <w:t>Gerald Desmond Bridge – Siltaratkaisu yhdelle Amerikan tärkeimmistä satamista (USA)</w:t>
      </w:r>
    </w:p>
    <w:p w:rsidR="004472FF" w:rsidRPr="002057F9" w:rsidRDefault="004472FF" w:rsidP="004472FF">
      <w:pPr>
        <w:rPr>
          <w:rFonts w:cs="Arial"/>
          <w:szCs w:val="22"/>
        </w:rPr>
      </w:pPr>
      <w:r>
        <w:rPr>
          <w:rFonts w:cs="Arial"/>
          <w:szCs w:val="22"/>
        </w:rPr>
        <w:t xml:space="preserve">Vuodesta 1968 lähtien Long Beach satamassa (Kaliforniassa) sijaitseva Gerald-Desmond-silta on ollut tärkeä kaupankäynnin reitin keskus. Yli 15 % Yhdysvaltoihin maahantuoduista konttilasteista kulkee tämän Kaliforniassa sijaitsevan sataman kautta. Tulevaisuudessa suurempien rahtilaivojen käsittelyä sekä tieliikenteen kapasiteetin ja turvallisuuden parantamista varten sinne rakennetaan parhaillaan uutta kaksipylonista vinoköysisiltaa. Dokan itsekiipeävä muottiratkaisu osoittautuu tässä tärkeässä infrastruktuurirakennushankkeessa erityisen taloudelliseksi, sillä se toimii ilman erillistä nosturintarvetta, ja rakentaminen etenee 8 päivän tahdissa. </w:t>
      </w:r>
    </w:p>
    <w:p w:rsidR="004472FF" w:rsidRDefault="004472FF" w:rsidP="004472FF">
      <w:pPr>
        <w:rPr>
          <w:rFonts w:cs="Arial"/>
          <w:szCs w:val="22"/>
        </w:rPr>
      </w:pPr>
    </w:p>
    <w:p w:rsidR="00A53906" w:rsidRPr="00A118DB" w:rsidRDefault="004528BC" w:rsidP="00A53906">
      <w:pPr>
        <w:rPr>
          <w:rFonts w:cs="Arial"/>
          <w:b/>
          <w:szCs w:val="22"/>
        </w:rPr>
      </w:pPr>
      <w:r>
        <w:rPr>
          <w:rFonts w:cs="Arial"/>
          <w:b/>
          <w:szCs w:val="22"/>
        </w:rPr>
        <w:t>Doha Metro – Julkinen liikenneinfrastruktuuri Qatarissa (QAT)</w:t>
      </w:r>
    </w:p>
    <w:p w:rsidR="00A53906" w:rsidRPr="00A53906" w:rsidRDefault="00A53906" w:rsidP="00A53906">
      <w:pPr>
        <w:rPr>
          <w:rFonts w:cs="Arial"/>
          <w:szCs w:val="22"/>
        </w:rPr>
      </w:pPr>
      <w:r>
        <w:rPr>
          <w:rFonts w:cs="Arial"/>
          <w:szCs w:val="22"/>
        </w:rPr>
        <w:t xml:space="preserve">Metrolinjojen rakentaminen pysyy aikataulussa ja vuodelle 2020 suunnitellun avauksen jälkeen se tulee olemaan yksi maailman innovatiivisimmista raideliikennejärjestelmistä. Doha Metron ensimmäiseen rakennusvaiheeseen sisältyy yli 111 km maanalaista tunnelia ja 37 asemaa. Red Line, jota kutsutaan myös rannikkolinjaksi, muodostaa Qatarin infrastruktuurijärjestelmän avainlinjan. Rakentamisen nopeuttamiseksi Doka esiasensi Koottavan suurmuotin Top 50 - jota käytettiin pohjalevyjen, ulkokuoren ja porraskuilujen valmistamiseen - ja Tukitornin Staxo 100. Fabrizio Fara, Assistant Construction Manager, ISG JV, korosti erityisesti Dokan rakennustyömaalle tuomaa tehokkuutta: „Dokan muottijärjestelmät tunnetaan luotettavasta laadusta, mutta myynti- ja teknisen tiimin  asiantuntemuksen ansiosta saatiin vielä runsaasti lisäplussaa työturvallisuuteen ja tuottavuuteen.“ </w:t>
      </w:r>
    </w:p>
    <w:p w:rsidR="00A53906" w:rsidRDefault="00A53906" w:rsidP="004472FF">
      <w:pPr>
        <w:rPr>
          <w:rFonts w:cs="Arial"/>
          <w:szCs w:val="22"/>
        </w:rPr>
      </w:pPr>
    </w:p>
    <w:p w:rsidR="00C1206D" w:rsidRPr="00C1206D" w:rsidRDefault="00C1206D" w:rsidP="00C1206D">
      <w:pPr>
        <w:rPr>
          <w:rFonts w:cs="Arial"/>
          <w:b/>
          <w:szCs w:val="22"/>
        </w:rPr>
      </w:pPr>
      <w:r>
        <w:rPr>
          <w:rFonts w:cs="Arial"/>
          <w:b/>
          <w:szCs w:val="22"/>
        </w:rPr>
        <w:t>Midfield Terminal Complex – Abu Dhabin kansainvälisen lentoaseman laajentaminen (ARE)</w:t>
      </w:r>
    </w:p>
    <w:p w:rsidR="00C1206D" w:rsidRDefault="00C1206D" w:rsidP="004472FF">
      <w:pPr>
        <w:rPr>
          <w:rFonts w:cs="Arial"/>
          <w:szCs w:val="22"/>
        </w:rPr>
      </w:pPr>
      <w:r>
        <w:rPr>
          <w:rFonts w:cs="Arial"/>
          <w:szCs w:val="22"/>
        </w:rPr>
        <w:t xml:space="preserve">Abu Dhabin kansainvälisellä lentoasemalla sijaitseva Midfield Terminal Complex on yksi Arabiemiirikuntien vaikuttavimmista tämänhetkisistä rakennushankkeista ja samalla „Abu Dhabi Economic Vision 2030“ kasvustrategian keskeinen osa. Doka tukee tämän lentoliikenteen solmukohdan laajennusrakentamista tehokkailla muottijärjestelmillä. Ne mahdollistavat 20-metrin tunnelijakson muotin siirtämisen seuraavaan vain kolmessa päivässä. </w:t>
      </w:r>
    </w:p>
    <w:p w:rsidR="002002C8" w:rsidRDefault="002002C8" w:rsidP="004472FF">
      <w:pPr>
        <w:rPr>
          <w:rFonts w:cs="Arial"/>
          <w:b/>
          <w:szCs w:val="22"/>
        </w:rPr>
      </w:pPr>
    </w:p>
    <w:p w:rsidR="004472FF" w:rsidRPr="002057F9" w:rsidRDefault="004472FF" w:rsidP="004472FF">
      <w:pPr>
        <w:rPr>
          <w:rFonts w:cs="Arial"/>
          <w:b/>
          <w:szCs w:val="22"/>
        </w:rPr>
      </w:pPr>
      <w:r>
        <w:rPr>
          <w:rFonts w:cs="Arial"/>
          <w:b/>
          <w:szCs w:val="22"/>
        </w:rPr>
        <w:t>Queensferry Crossing – Maailman pisin 3-pyloninen vinoköysisilta (GBR)</w:t>
      </w:r>
    </w:p>
    <w:p w:rsidR="004472FF" w:rsidRPr="002057F9" w:rsidRDefault="004472FF" w:rsidP="004472FF">
      <w:pPr>
        <w:rPr>
          <w:rFonts w:cs="Arial"/>
          <w:szCs w:val="22"/>
        </w:rPr>
      </w:pPr>
      <w:r>
        <w:rPr>
          <w:rFonts w:cs="Arial"/>
          <w:szCs w:val="22"/>
        </w:rPr>
        <w:t xml:space="preserve">Skotlannin itärannikolla, lähellä Edinburghia, on rakenteilla tärkeä liikenneyhteys Firth of Forth vuonon yli: Queensferry Crossing maantiesilta. 2,7 km pituinen silta tulee olemaan maailman pisin 3-pyloninen vinoköysisilta. Molempien maasiltojen muotitukseen käytettiin Dokan siirrettäviä sillan kansimuotteja. Lisäksi rakennettiin 110 kansilevyä, paino 760 tonnia, staattisella tuennalla ja muoteilla. Dokan muottiratkaisu varmisti rakentamisen nopean etenemisen. </w:t>
      </w:r>
    </w:p>
    <w:p w:rsidR="004472FF" w:rsidRPr="002057F9" w:rsidRDefault="004472FF" w:rsidP="004472FF">
      <w:pPr>
        <w:rPr>
          <w:rFonts w:cs="Arial"/>
          <w:szCs w:val="22"/>
        </w:rPr>
      </w:pPr>
    </w:p>
    <w:p w:rsidR="004472FF" w:rsidRPr="002057F9" w:rsidRDefault="004472FF" w:rsidP="004472FF">
      <w:pPr>
        <w:rPr>
          <w:rFonts w:cs="Arial"/>
          <w:b/>
          <w:szCs w:val="22"/>
        </w:rPr>
      </w:pPr>
      <w:r>
        <w:rPr>
          <w:rFonts w:cs="Arial"/>
          <w:b/>
          <w:szCs w:val="22"/>
        </w:rPr>
        <w:t>Northern Hub – Nopeammat junayhteydet Pohjois-Englannissa (GBR)</w:t>
      </w:r>
    </w:p>
    <w:p w:rsidR="004472FF" w:rsidRDefault="004472FF" w:rsidP="004472FF">
      <w:pPr>
        <w:rPr>
          <w:rFonts w:cs="Arial"/>
          <w:szCs w:val="22"/>
        </w:rPr>
      </w:pPr>
      <w:r>
        <w:rPr>
          <w:rFonts w:cs="Arial"/>
          <w:szCs w:val="22"/>
        </w:rPr>
        <w:t xml:space="preserve">Northern Hub hankkeen päämäärä on rakentaa uusia ja nopeampia rautatielinjoja Pohjois-Englantiin. Tämä megahanke yhdistää tulevaisuudessa alueen tärkeimmät kaupungit, Manchesterin toimiessa tärkeänä solmukohtana. Erityisen haastavaa hankkeelle on, että uudet rautatiesillat sijaitsevat osittain historiallisesti suojeltujen rakennusten vieressä. Doka tarjosi muottiratkaisun, jolla monimutkaiset siltapilarit voidaan valmistaa täsmälleen suunnitelmien mukaisesti. Samalla Doka nopeutti töiden etenemistä toimittamalla esiasennetut muotit ready-to-use rakennustyömaalle. </w:t>
      </w:r>
    </w:p>
    <w:p w:rsidR="004472FF" w:rsidRPr="00EF624C" w:rsidRDefault="004472FF" w:rsidP="004472FF">
      <w:pPr>
        <w:rPr>
          <w:rFonts w:cs="Arial"/>
          <w:szCs w:val="22"/>
        </w:rPr>
      </w:pPr>
    </w:p>
    <w:p w:rsidR="004472FF" w:rsidRPr="002057F9" w:rsidRDefault="004472FF" w:rsidP="004472FF">
      <w:pPr>
        <w:rPr>
          <w:rFonts w:cs="Arial"/>
          <w:b/>
          <w:szCs w:val="22"/>
        </w:rPr>
      </w:pPr>
      <w:r>
        <w:rPr>
          <w:rFonts w:cs="Arial"/>
          <w:b/>
          <w:szCs w:val="22"/>
        </w:rPr>
        <w:t>Moottoritiesilta SO 223 – Huipputason siltateknologiaa Slovakiaan (SVK)</w:t>
      </w:r>
    </w:p>
    <w:p w:rsidR="002264AA" w:rsidRDefault="00BD1DD6" w:rsidP="00BD1DD6">
      <w:pPr>
        <w:rPr>
          <w:rFonts w:cs="Arial"/>
          <w:szCs w:val="22"/>
        </w:rPr>
      </w:pPr>
      <w:r>
        <w:rPr>
          <w:rFonts w:cs="Arial"/>
          <w:szCs w:val="22"/>
        </w:rPr>
        <w:t xml:space="preserve">Yli kilometrin pituinen moottoritien D3 silta lähellä Zilinaa, Slovakian neljänneksi suurinta kaupunkia, vähentää tulevaisuudessa maan luoteisosan liikenneruuhkia. Kaksi erillistä siltaa - kunkin ajoradan leveys 11 m - tulevat ylittämään Vah-padon. Hankkeen monimutkaisuudesta johtuen tarvittiin useampia erilaisia muottiratkaisuja, joiden suunnittelusta vastasi Dokan tsekkiläinen keskustoimisto Česká Doka. Rakentamista nopeuttivat muun muassa Dokan ulokemuottivaunut, joiden lyhyet asennusajat ja nopeat tahti- ja siirtoajat mahdollistivat muotituksen 40 metrin viikkotahdissa. </w:t>
      </w:r>
    </w:p>
    <w:p w:rsidR="006856D6" w:rsidRDefault="006856D6" w:rsidP="004472FF">
      <w:pPr>
        <w:rPr>
          <w:rFonts w:cs="Arial"/>
          <w:szCs w:val="22"/>
        </w:rPr>
      </w:pPr>
    </w:p>
    <w:p w:rsidR="006856D6" w:rsidRPr="00BD1DD6" w:rsidRDefault="006856D6" w:rsidP="006856D6">
      <w:pPr>
        <w:rPr>
          <w:rFonts w:cs="Arial"/>
          <w:b/>
          <w:szCs w:val="22"/>
        </w:rPr>
      </w:pPr>
      <w:r>
        <w:rPr>
          <w:rFonts w:cs="Arial"/>
          <w:b/>
          <w:szCs w:val="22"/>
        </w:rPr>
        <w:t>Aurora – Asuintilaa 92 kerroksessa (AUS)</w:t>
      </w:r>
    </w:p>
    <w:p w:rsidR="004472FF" w:rsidRPr="002057F9" w:rsidRDefault="006856D6" w:rsidP="00BD1DD6">
      <w:pPr>
        <w:rPr>
          <w:rFonts w:cs="Arial"/>
          <w:szCs w:val="22"/>
        </w:rPr>
      </w:pPr>
      <w:r>
        <w:rPr>
          <w:rFonts w:cs="Arial"/>
          <w:szCs w:val="22"/>
        </w:rPr>
        <w:t>Melbournin keskustaan kohoaa kaupungin toiseksi korkein asuinrakennus, josta tulee olemaan jopa suora yhteys City Loop-metrolinjaan. Dokan ja Dokan australialaisen tytäryhtiön Lubecan muottiasiantuntemuksen ansiosta rakentaminen etenee nopeasti. Rakennuksen ydin valmistetaan kahdella kiipeävällä muottijärjestelmällä, jotka nopeuttavat tahtiaikoja ja samalla vähentävät työvoiman tarvetta perinteisiin rakennusmenetelmiin verrattaessa. Auroran korkeus kasvaa tasaisesti neljän-viiden päivän tahdissa. Valmistuttuaan pilvenpiirtäjä tarjoaa tilaa 941 asunnolle, 250 kalustetulle huoneistolle ja  lisäksi toimisto- ja myymälätiloja.</w:t>
      </w:r>
    </w:p>
    <w:p w:rsidR="006856D6" w:rsidRDefault="006856D6" w:rsidP="001D29C9">
      <w:pPr>
        <w:rPr>
          <w:rFonts w:cs="Arial"/>
          <w:b/>
          <w:sz w:val="20"/>
          <w:szCs w:val="20"/>
        </w:rPr>
      </w:pPr>
    </w:p>
    <w:p w:rsidR="002C03E4" w:rsidRPr="004A2BA0" w:rsidRDefault="002C03E4" w:rsidP="002C03E4">
      <w:pPr>
        <w:rPr>
          <w:b/>
          <w:sz w:val="20"/>
          <w:szCs w:val="20"/>
        </w:rPr>
      </w:pPr>
      <w:r>
        <w:rPr>
          <w:b/>
          <w:sz w:val="20"/>
          <w:szCs w:val="20"/>
        </w:rPr>
        <w:t>Tietoa Dokasta:</w:t>
      </w:r>
    </w:p>
    <w:p w:rsidR="002C03E4" w:rsidRPr="004A2BA0" w:rsidRDefault="002C03E4" w:rsidP="002C03E4">
      <w:pPr>
        <w:rPr>
          <w:rFonts w:cs="Arial"/>
          <w:sz w:val="20"/>
          <w:szCs w:val="20"/>
        </w:rPr>
      </w:pPr>
      <w:r>
        <w:rPr>
          <w:rFonts w:cs="Arial"/>
          <w:sz w:val="20"/>
          <w:szCs w:val="20"/>
        </w:rPr>
        <w:t>Doka on yksi maailman johtavista yrityksistä muottiratkaisujen suunnittelussa, valmistuksessa ja myynnissä kaikkien rakennusalan erilaisiin projekteihin. Doka Group on edustettuna yli 160 myynti- ja logistiikkakeskuksessa yli 70 maassa muodostaen näin tehokkaasti toimivan myyntiverkoston joka takaa materiaalin ja teknisen tuen nopean ja ammattitaitoisen käytettävyyden. Doka Group on osa Umdasch Group’ia ja työllistää maailmanlaajuisesti yli 6 000 henkilöä.</w:t>
      </w:r>
    </w:p>
    <w:p w:rsidR="002C03E4" w:rsidRDefault="002C03E4" w:rsidP="002C03E4">
      <w:pPr>
        <w:rPr>
          <w:rFonts w:cs="Arial"/>
          <w:b/>
          <w:sz w:val="20"/>
          <w:szCs w:val="20"/>
        </w:rPr>
      </w:pPr>
    </w:p>
    <w:p w:rsidR="002C03E4" w:rsidRPr="004A1FBD" w:rsidRDefault="002C03E4" w:rsidP="002C03E4">
      <w:pPr>
        <w:rPr>
          <w:rFonts w:cs="Arial"/>
          <w:b/>
          <w:sz w:val="20"/>
          <w:szCs w:val="20"/>
        </w:rPr>
      </w:pPr>
      <w:r>
        <w:rPr>
          <w:rFonts w:cs="Arial"/>
          <w:b/>
          <w:sz w:val="20"/>
          <w:szCs w:val="20"/>
        </w:rPr>
        <w:t>Yhteydet lehdistöön</w:t>
      </w:r>
    </w:p>
    <w:p w:rsidR="002C03E4" w:rsidRPr="00DC5BC5" w:rsidRDefault="002C03E4" w:rsidP="002C03E4">
      <w:pPr>
        <w:rPr>
          <w:rFonts w:cs="Arial"/>
          <w:b/>
          <w:sz w:val="20"/>
          <w:szCs w:val="20"/>
        </w:rPr>
      </w:pPr>
      <w:r>
        <w:rPr>
          <w:rFonts w:cs="Arial"/>
          <w:b/>
          <w:sz w:val="20"/>
          <w:szCs w:val="20"/>
        </w:rPr>
        <w:t>Doka Group</w:t>
      </w:r>
    </w:p>
    <w:p w:rsidR="002C03E4" w:rsidRPr="00DC5BC5" w:rsidRDefault="002C03E4" w:rsidP="002C03E4">
      <w:pPr>
        <w:rPr>
          <w:rFonts w:cs="Arial"/>
          <w:sz w:val="20"/>
          <w:szCs w:val="20"/>
        </w:rPr>
      </w:pPr>
      <w:r>
        <w:rPr>
          <w:rFonts w:cs="Arial"/>
          <w:bCs/>
          <w:sz w:val="20"/>
          <w:szCs w:val="20"/>
        </w:rPr>
        <w:t>Alexander Hörschläger</w:t>
      </w:r>
    </w:p>
    <w:p w:rsidR="002C03E4" w:rsidRPr="00DC5BC5" w:rsidRDefault="002C03E4" w:rsidP="002C03E4">
      <w:pPr>
        <w:rPr>
          <w:rFonts w:cs="Arial"/>
          <w:sz w:val="20"/>
          <w:szCs w:val="20"/>
        </w:rPr>
      </w:pPr>
      <w:r>
        <w:rPr>
          <w:rFonts w:cs="Arial"/>
          <w:sz w:val="20"/>
          <w:szCs w:val="20"/>
        </w:rPr>
        <w:t>Head of Public Relations</w:t>
      </w:r>
    </w:p>
    <w:p w:rsidR="002C03E4" w:rsidRPr="00DC5BC5" w:rsidRDefault="002C03E4" w:rsidP="002C03E4">
      <w:pPr>
        <w:rPr>
          <w:rFonts w:cs="Arial"/>
          <w:sz w:val="20"/>
          <w:szCs w:val="20"/>
        </w:rPr>
      </w:pPr>
      <w:r>
        <w:rPr>
          <w:rFonts w:cs="Arial"/>
          <w:b/>
          <w:bCs/>
          <w:sz w:val="20"/>
          <w:szCs w:val="20"/>
        </w:rPr>
        <w:t>M</w:t>
      </w:r>
      <w:r>
        <w:rPr>
          <w:rFonts w:cs="Arial"/>
          <w:sz w:val="20"/>
          <w:szCs w:val="20"/>
        </w:rPr>
        <w:t>+43/664/88384478</w:t>
      </w:r>
    </w:p>
    <w:p w:rsidR="002C03E4" w:rsidRDefault="007E47AA">
      <w:hyperlink r:id="rId11">
        <w:r w:rsidR="00DB2473">
          <w:rPr>
            <w:rStyle w:val="Hyperlink"/>
            <w:sz w:val="20"/>
            <w:szCs w:val="20"/>
          </w:rPr>
          <w:t>alexander.hoerschlaeger@doka.com</w:t>
        </w:r>
      </w:hyperlink>
    </w:p>
    <w:p w:rsidR="00FB1372" w:rsidRDefault="00FB1372">
      <w:pPr>
        <w:rPr>
          <w:b/>
          <w:sz w:val="24"/>
        </w:rPr>
      </w:pPr>
    </w:p>
    <w:p w:rsidR="00FB1372" w:rsidRDefault="00FB1372">
      <w:pPr>
        <w:rPr>
          <w:b/>
          <w:sz w:val="24"/>
        </w:rPr>
      </w:pPr>
    </w:p>
    <w:p w:rsidR="009869BA" w:rsidRPr="009869BA" w:rsidRDefault="009869BA">
      <w:pPr>
        <w:rPr>
          <w:b/>
          <w:sz w:val="24"/>
        </w:rPr>
      </w:pPr>
      <w:r>
        <w:rPr>
          <w:b/>
          <w:sz w:val="24"/>
        </w:rPr>
        <w:lastRenderedPageBreak/>
        <w:t>Valokuvia:</w:t>
      </w:r>
      <w:bookmarkStart w:id="0" w:name="_GoBack"/>
      <w:bookmarkEnd w:id="0"/>
    </w:p>
    <w:p w:rsidR="009869BA" w:rsidRDefault="009869BA"/>
    <w:p w:rsidR="002002C8" w:rsidRDefault="00D17B12">
      <w:r>
        <w:t xml:space="preserve">Kaikki valokuvat voidaan ladata osoitteesta: </w:t>
      </w:r>
      <w:hyperlink r:id="rId12">
        <w:r>
          <w:rPr>
            <w:rStyle w:val="Hyperlink"/>
            <w:sz w:val="22"/>
          </w:rPr>
          <w:t>www.doka.com/de/news/press/weltweite-projekte-bessere-infrastruktur</w:t>
        </w:r>
      </w:hyperlink>
      <w:r>
        <w:t>. Julkaisuissa pyydämme ilmoittamaan kuvalähteen.</w:t>
      </w:r>
    </w:p>
    <w:p w:rsidR="002002C8" w:rsidRDefault="002002C8"/>
    <w:tbl>
      <w:tblPr>
        <w:tblW w:w="0" w:type="auto"/>
        <w:tblLook w:val="04A0" w:firstRow="1" w:lastRow="0" w:firstColumn="1" w:lastColumn="0" w:noHBand="0" w:noVBand="1"/>
      </w:tblPr>
      <w:tblGrid>
        <w:gridCol w:w="2802"/>
        <w:gridCol w:w="6486"/>
      </w:tblGrid>
      <w:tr w:rsidR="00451196" w:rsidRPr="00B826B5" w:rsidTr="00451196">
        <w:tc>
          <w:tcPr>
            <w:tcW w:w="2802" w:type="dxa"/>
            <w:hideMark/>
          </w:tcPr>
          <w:p w:rsidR="00451196" w:rsidRDefault="00451196" w:rsidP="00451196">
            <w:pPr>
              <w:jc w:val="center"/>
              <w:rPr>
                <w:noProof/>
                <w:sz w:val="16"/>
                <w:szCs w:val="16"/>
              </w:rPr>
            </w:pPr>
          </w:p>
        </w:tc>
        <w:tc>
          <w:tcPr>
            <w:tcW w:w="6486" w:type="dxa"/>
          </w:tcPr>
          <w:p w:rsidR="00451196" w:rsidRPr="00451196" w:rsidRDefault="00451196" w:rsidP="00451196">
            <w:pPr>
              <w:rPr>
                <w:rFonts w:cs="Arial"/>
                <w:b/>
                <w:sz w:val="20"/>
                <w:szCs w:val="20"/>
              </w:rPr>
            </w:pPr>
            <w:r>
              <w:rPr>
                <w:rFonts w:cs="Arial"/>
                <w:b/>
                <w:sz w:val="20"/>
                <w:szCs w:val="20"/>
              </w:rPr>
              <w:t xml:space="preserve">Kehätieosuus Graz </w:t>
            </w:r>
          </w:p>
          <w:p w:rsidR="00451196" w:rsidRPr="009869BA" w:rsidRDefault="00451196" w:rsidP="00451196">
            <w:pPr>
              <w:rPr>
                <w:rFonts w:cs="Arial"/>
                <w:color w:val="auto"/>
                <w:sz w:val="20"/>
                <w:szCs w:val="22"/>
              </w:rPr>
            </w:pPr>
          </w:p>
          <w:p w:rsidR="00451196" w:rsidRPr="009869BA" w:rsidRDefault="00451196" w:rsidP="00451196">
            <w:pPr>
              <w:rPr>
                <w:rFonts w:cs="Arial"/>
                <w:color w:val="auto"/>
                <w:sz w:val="20"/>
                <w:szCs w:val="22"/>
              </w:rPr>
            </w:pPr>
            <w:r>
              <w:rPr>
                <w:rFonts w:cs="Arial"/>
                <w:color w:val="auto"/>
                <w:sz w:val="20"/>
                <w:szCs w:val="22"/>
              </w:rPr>
              <w:t xml:space="preserve">Grazin eteläinen kehätie on osa Itävallan tärkeää infrastruktuurihanketta, joka valmistuu vuoden 2017 kuluessa. </w:t>
            </w:r>
          </w:p>
          <w:p w:rsidR="00451196" w:rsidRPr="00451196" w:rsidRDefault="00451196" w:rsidP="00451196">
            <w:pPr>
              <w:rPr>
                <w:rFonts w:cs="Arial"/>
                <w:color w:val="auto"/>
                <w:sz w:val="20"/>
              </w:rPr>
            </w:pPr>
          </w:p>
          <w:p w:rsidR="00451196" w:rsidRDefault="00451196" w:rsidP="00451196">
            <w:pPr>
              <w:rPr>
                <w:rFonts w:cs="Arial"/>
                <w:color w:val="auto"/>
              </w:rPr>
            </w:pPr>
            <w:r>
              <w:rPr>
                <w:rFonts w:cs="Arial"/>
                <w:color w:val="auto"/>
                <w:sz w:val="20"/>
                <w:szCs w:val="22"/>
              </w:rPr>
              <w:t>Copyright © Doka</w:t>
            </w:r>
          </w:p>
        </w:tc>
      </w:tr>
      <w:tr w:rsidR="00451196" w:rsidRPr="00B826B5" w:rsidTr="00451196">
        <w:tc>
          <w:tcPr>
            <w:tcW w:w="2802" w:type="dxa"/>
            <w:hideMark/>
          </w:tcPr>
          <w:p w:rsidR="00451196" w:rsidRDefault="00451196" w:rsidP="00451196">
            <w:pPr>
              <w:jc w:val="center"/>
              <w:rPr>
                <w:noProof/>
                <w:sz w:val="16"/>
                <w:szCs w:val="16"/>
              </w:rPr>
            </w:pPr>
          </w:p>
        </w:tc>
        <w:tc>
          <w:tcPr>
            <w:tcW w:w="6486" w:type="dxa"/>
          </w:tcPr>
          <w:p w:rsidR="00451196" w:rsidRPr="009869BA" w:rsidRDefault="00451196" w:rsidP="00451196">
            <w:pPr>
              <w:rPr>
                <w:rFonts w:cs="Arial"/>
                <w:b/>
                <w:color w:val="auto"/>
                <w:sz w:val="20"/>
                <w:szCs w:val="20"/>
              </w:rPr>
            </w:pPr>
            <w:r>
              <w:rPr>
                <w:rFonts w:cs="Arial"/>
                <w:b/>
                <w:color w:val="auto"/>
                <w:sz w:val="20"/>
                <w:szCs w:val="20"/>
              </w:rPr>
              <w:t xml:space="preserve">Muskrat Falls </w:t>
            </w:r>
          </w:p>
          <w:p w:rsidR="00451196" w:rsidRPr="009869BA" w:rsidRDefault="00451196" w:rsidP="00451196">
            <w:pPr>
              <w:rPr>
                <w:rFonts w:cs="Arial"/>
                <w:color w:val="auto"/>
                <w:sz w:val="20"/>
                <w:szCs w:val="20"/>
              </w:rPr>
            </w:pPr>
          </w:p>
          <w:p w:rsidR="00FC7711" w:rsidRDefault="00451196" w:rsidP="00451196">
            <w:pPr>
              <w:rPr>
                <w:rFonts w:cs="Arial"/>
                <w:color w:val="auto"/>
                <w:sz w:val="20"/>
                <w:szCs w:val="22"/>
              </w:rPr>
            </w:pPr>
            <w:r>
              <w:rPr>
                <w:rFonts w:cs="Arial"/>
                <w:color w:val="auto"/>
                <w:sz w:val="20"/>
                <w:szCs w:val="22"/>
              </w:rPr>
              <w:t>Vesivoimalan rakennustyömaalla lämpötilat laskivat ajoittain jopa 40 miinusasteeseen, mikä asetti omat haasteensa rakennustöille.</w:t>
            </w:r>
          </w:p>
          <w:p w:rsidR="00FC7711" w:rsidRPr="00FC7711" w:rsidRDefault="00FC7711" w:rsidP="00451196">
            <w:pPr>
              <w:rPr>
                <w:rFonts w:cs="Arial"/>
                <w:color w:val="auto"/>
                <w:sz w:val="20"/>
                <w:szCs w:val="22"/>
              </w:rPr>
            </w:pPr>
          </w:p>
          <w:p w:rsidR="00451196" w:rsidRPr="00A051BC" w:rsidRDefault="00451196" w:rsidP="00451196">
            <w:pPr>
              <w:rPr>
                <w:rFonts w:cs="Arial"/>
                <w:b/>
                <w:sz w:val="20"/>
                <w:szCs w:val="20"/>
              </w:rPr>
            </w:pPr>
            <w:r>
              <w:rPr>
                <w:rFonts w:cs="Arial"/>
                <w:color w:val="auto"/>
                <w:sz w:val="20"/>
                <w:szCs w:val="22"/>
              </w:rPr>
              <w:t>Copyright © Doka</w:t>
            </w:r>
          </w:p>
        </w:tc>
      </w:tr>
      <w:tr w:rsidR="00451196" w:rsidRPr="00B826B5" w:rsidTr="00451196">
        <w:tc>
          <w:tcPr>
            <w:tcW w:w="2802" w:type="dxa"/>
            <w:hideMark/>
          </w:tcPr>
          <w:p w:rsidR="00451196" w:rsidRDefault="00451196" w:rsidP="00451196">
            <w:pPr>
              <w:jc w:val="center"/>
              <w:rPr>
                <w:noProof/>
                <w:sz w:val="16"/>
                <w:szCs w:val="16"/>
              </w:rPr>
            </w:pPr>
            <w:r>
              <w:rPr>
                <w:noProof/>
                <w:sz w:val="16"/>
                <w:szCs w:val="16"/>
                <w:lang w:val="de-DE" w:eastAsia="de-DE" w:bidi="ar-SA"/>
              </w:rPr>
              <w:drawing>
                <wp:inline distT="0" distB="0" distL="0" distR="0">
                  <wp:extent cx="1602105" cy="1068070"/>
                  <wp:effectExtent l="19050" t="0" r="0" b="0"/>
                  <wp:docPr id="4" name="Grafik 7" descr="ThreeWorldTradeCenter_(c)Dok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7" descr="ThreeWorldTradeCenter_(c)Doka.jpg"/>
                          <pic:cNvPicPr>
                            <a:picLocks noChangeAspect="1" noChangeArrowheads="1"/>
                          </pic:cNvPicPr>
                        </pic:nvPicPr>
                        <pic:blipFill>
                          <a:blip r:embed="rId13" cstate="print"/>
                          <a:srcRect/>
                          <a:stretch>
                            <a:fillRect/>
                          </a:stretch>
                        </pic:blipFill>
                        <pic:spPr bwMode="auto">
                          <a:xfrm>
                            <a:off x="0" y="0"/>
                            <a:ext cx="1602105" cy="1068070"/>
                          </a:xfrm>
                          <a:prstGeom prst="rect">
                            <a:avLst/>
                          </a:prstGeom>
                          <a:noFill/>
                          <a:ln w="9525">
                            <a:noFill/>
                            <a:miter lim="800000"/>
                            <a:headEnd/>
                            <a:tailEnd/>
                          </a:ln>
                        </pic:spPr>
                      </pic:pic>
                    </a:graphicData>
                  </a:graphic>
                </wp:inline>
              </w:drawing>
            </w:r>
          </w:p>
        </w:tc>
        <w:tc>
          <w:tcPr>
            <w:tcW w:w="6486" w:type="dxa"/>
          </w:tcPr>
          <w:p w:rsidR="00451196" w:rsidRPr="009869BA" w:rsidRDefault="00451196" w:rsidP="00451196">
            <w:pPr>
              <w:rPr>
                <w:rFonts w:cs="Arial"/>
                <w:b/>
                <w:color w:val="auto"/>
                <w:sz w:val="20"/>
                <w:szCs w:val="20"/>
              </w:rPr>
            </w:pPr>
            <w:r>
              <w:rPr>
                <w:rFonts w:cs="Arial"/>
                <w:b/>
                <w:color w:val="auto"/>
                <w:sz w:val="20"/>
                <w:szCs w:val="20"/>
              </w:rPr>
              <w:t>Three World Trade Center</w:t>
            </w:r>
          </w:p>
          <w:p w:rsidR="00FC7711" w:rsidRPr="009869BA" w:rsidRDefault="00FC7711" w:rsidP="00451196">
            <w:pPr>
              <w:rPr>
                <w:rFonts w:cs="Arial"/>
                <w:b/>
                <w:color w:val="auto"/>
                <w:sz w:val="20"/>
                <w:szCs w:val="20"/>
              </w:rPr>
            </w:pPr>
          </w:p>
          <w:p w:rsidR="00451196" w:rsidRPr="00FC7711" w:rsidRDefault="00545998" w:rsidP="00451196">
            <w:pPr>
              <w:rPr>
                <w:rFonts w:cs="Arial"/>
                <w:color w:val="auto"/>
                <w:sz w:val="20"/>
                <w:szCs w:val="22"/>
              </w:rPr>
            </w:pPr>
            <w:r>
              <w:rPr>
                <w:rFonts w:cs="Arial"/>
                <w:color w:val="auto"/>
                <w:sz w:val="20"/>
                <w:szCs w:val="22"/>
              </w:rPr>
              <w:t>80-kerroksinen Tower 3 rakennettiin Dokan muottiratkaisuilla keskelle entistä Ground Zero aluetta.</w:t>
            </w:r>
          </w:p>
          <w:p w:rsidR="00FC7711" w:rsidRPr="00FC7711" w:rsidRDefault="00FC7711" w:rsidP="00451196">
            <w:pPr>
              <w:rPr>
                <w:rFonts w:cs="Arial"/>
                <w:color w:val="auto"/>
                <w:sz w:val="20"/>
                <w:szCs w:val="20"/>
              </w:rPr>
            </w:pPr>
          </w:p>
          <w:p w:rsidR="00451196" w:rsidRPr="00342C38" w:rsidRDefault="00451196" w:rsidP="00451196">
            <w:pPr>
              <w:rPr>
                <w:rFonts w:cs="Arial"/>
                <w:b/>
                <w:color w:val="auto"/>
                <w:sz w:val="20"/>
                <w:szCs w:val="20"/>
              </w:rPr>
            </w:pPr>
            <w:r>
              <w:rPr>
                <w:rFonts w:cs="Arial"/>
                <w:color w:val="auto"/>
                <w:sz w:val="20"/>
                <w:szCs w:val="20"/>
              </w:rPr>
              <w:t>Copyright © Doka</w:t>
            </w:r>
          </w:p>
        </w:tc>
      </w:tr>
      <w:tr w:rsidR="00451196" w:rsidRPr="00B826B5" w:rsidTr="00451196">
        <w:tc>
          <w:tcPr>
            <w:tcW w:w="2802" w:type="dxa"/>
            <w:hideMark/>
          </w:tcPr>
          <w:p w:rsidR="00451196" w:rsidRDefault="00451196" w:rsidP="00451196">
            <w:pPr>
              <w:jc w:val="center"/>
              <w:rPr>
                <w:noProof/>
                <w:sz w:val="16"/>
                <w:szCs w:val="16"/>
              </w:rPr>
            </w:pPr>
            <w:r>
              <w:rPr>
                <w:noProof/>
                <w:sz w:val="16"/>
                <w:szCs w:val="16"/>
                <w:lang w:val="de-DE" w:eastAsia="de-DE" w:bidi="ar-SA"/>
              </w:rPr>
              <w:drawing>
                <wp:inline distT="0" distB="0" distL="0" distR="0">
                  <wp:extent cx="1426210" cy="1068070"/>
                  <wp:effectExtent l="19050" t="0" r="2540" b="0"/>
                  <wp:docPr id="5" name="Grafik 8" descr="GeraldDesmondBridge_(c)Dok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8" descr="GeraldDesmondBridge_(c)Doka.jpg"/>
                          <pic:cNvPicPr>
                            <a:picLocks noChangeAspect="1" noChangeArrowheads="1"/>
                          </pic:cNvPicPr>
                        </pic:nvPicPr>
                        <pic:blipFill>
                          <a:blip r:embed="rId14" cstate="print"/>
                          <a:srcRect/>
                          <a:stretch>
                            <a:fillRect/>
                          </a:stretch>
                        </pic:blipFill>
                        <pic:spPr bwMode="auto">
                          <a:xfrm>
                            <a:off x="0" y="0"/>
                            <a:ext cx="1426210" cy="1068070"/>
                          </a:xfrm>
                          <a:prstGeom prst="rect">
                            <a:avLst/>
                          </a:prstGeom>
                          <a:noFill/>
                          <a:ln w="9525">
                            <a:noFill/>
                            <a:miter lim="800000"/>
                            <a:headEnd/>
                            <a:tailEnd/>
                          </a:ln>
                        </pic:spPr>
                      </pic:pic>
                    </a:graphicData>
                  </a:graphic>
                </wp:inline>
              </w:drawing>
            </w:r>
          </w:p>
        </w:tc>
        <w:tc>
          <w:tcPr>
            <w:tcW w:w="6486" w:type="dxa"/>
          </w:tcPr>
          <w:p w:rsidR="00451196" w:rsidRPr="009869BA" w:rsidRDefault="00451196" w:rsidP="00451196">
            <w:pPr>
              <w:rPr>
                <w:rFonts w:cs="Arial"/>
                <w:b/>
                <w:color w:val="auto"/>
                <w:sz w:val="20"/>
                <w:szCs w:val="20"/>
              </w:rPr>
            </w:pPr>
            <w:r>
              <w:rPr>
                <w:rFonts w:cs="Arial"/>
                <w:b/>
                <w:color w:val="auto"/>
                <w:sz w:val="20"/>
                <w:szCs w:val="20"/>
              </w:rPr>
              <w:t xml:space="preserve">Gerald Desmond Bridge </w:t>
            </w:r>
          </w:p>
          <w:p w:rsidR="00451196" w:rsidRPr="009869BA" w:rsidRDefault="00451196" w:rsidP="00451196">
            <w:pPr>
              <w:rPr>
                <w:rFonts w:cs="Arial"/>
                <w:b/>
                <w:color w:val="auto"/>
                <w:sz w:val="20"/>
                <w:szCs w:val="20"/>
              </w:rPr>
            </w:pPr>
          </w:p>
          <w:p w:rsidR="00451196" w:rsidRDefault="00FC7711" w:rsidP="00451196">
            <w:pPr>
              <w:rPr>
                <w:rFonts w:cs="Arial"/>
                <w:color w:val="auto"/>
                <w:sz w:val="20"/>
                <w:szCs w:val="22"/>
              </w:rPr>
            </w:pPr>
            <w:r>
              <w:rPr>
                <w:rFonts w:cs="Arial"/>
                <w:color w:val="auto"/>
                <w:sz w:val="20"/>
                <w:szCs w:val="22"/>
              </w:rPr>
              <w:t xml:space="preserve">Vuodesta 1968 lähtien Long Beach satamassa (Kaliforniassa) sijaitseva Gerald-Desmond-silta on ollut tärkeä kaupankäynnin reitin keskus. </w:t>
            </w:r>
          </w:p>
          <w:p w:rsidR="00FC7711" w:rsidRPr="00FC7711" w:rsidRDefault="00FC7711" w:rsidP="00451196">
            <w:pPr>
              <w:rPr>
                <w:rFonts w:cs="Arial"/>
                <w:color w:val="auto"/>
                <w:sz w:val="20"/>
                <w:szCs w:val="22"/>
              </w:rPr>
            </w:pPr>
          </w:p>
          <w:p w:rsidR="00451196" w:rsidRPr="00221AEA" w:rsidRDefault="00451196" w:rsidP="00451196">
            <w:pPr>
              <w:rPr>
                <w:rFonts w:cs="Arial"/>
                <w:b/>
                <w:color w:val="auto"/>
                <w:sz w:val="20"/>
                <w:szCs w:val="20"/>
              </w:rPr>
            </w:pPr>
            <w:r>
              <w:rPr>
                <w:rFonts w:cs="Arial"/>
                <w:color w:val="auto"/>
                <w:sz w:val="20"/>
                <w:szCs w:val="20"/>
              </w:rPr>
              <w:t>Copyright © Doka</w:t>
            </w:r>
          </w:p>
        </w:tc>
      </w:tr>
      <w:tr w:rsidR="00451196" w:rsidRPr="00B826B5" w:rsidTr="00451196">
        <w:tc>
          <w:tcPr>
            <w:tcW w:w="2802" w:type="dxa"/>
            <w:hideMark/>
          </w:tcPr>
          <w:p w:rsidR="00451196" w:rsidRDefault="00451196" w:rsidP="00451196">
            <w:pPr>
              <w:jc w:val="center"/>
              <w:rPr>
                <w:noProof/>
                <w:sz w:val="16"/>
                <w:szCs w:val="16"/>
              </w:rPr>
            </w:pPr>
            <w:r>
              <w:rPr>
                <w:noProof/>
                <w:sz w:val="16"/>
                <w:szCs w:val="16"/>
                <w:lang w:val="de-DE" w:eastAsia="de-DE" w:bidi="ar-SA"/>
              </w:rPr>
              <w:drawing>
                <wp:inline distT="0" distB="0" distL="0" distR="0">
                  <wp:extent cx="1602105" cy="1068070"/>
                  <wp:effectExtent l="19050" t="0" r="0" b="0"/>
                  <wp:docPr id="29" name="Bild 16" descr="K:\Public_Relations_and_Communications\Media_Relations\Medienarbeit\2017\Presseinformationen\2017-01_Infrastruktur\Fotos\Fotos Word\MetroQatar_(c)Dok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K:\Public_Relations_and_Communications\Media_Relations\Medienarbeit\2017\Presseinformationen\2017-01_Infrastruktur\Fotos\Fotos Word\MetroQatar_(c)Doka.jpg"/>
                          <pic:cNvPicPr>
                            <a:picLocks noChangeAspect="1" noChangeArrowheads="1"/>
                          </pic:cNvPicPr>
                        </pic:nvPicPr>
                        <pic:blipFill>
                          <a:blip r:embed="rId15" cstate="print"/>
                          <a:srcRect/>
                          <a:stretch>
                            <a:fillRect/>
                          </a:stretch>
                        </pic:blipFill>
                        <pic:spPr bwMode="auto">
                          <a:xfrm>
                            <a:off x="0" y="0"/>
                            <a:ext cx="1602105" cy="1068070"/>
                          </a:xfrm>
                          <a:prstGeom prst="rect">
                            <a:avLst/>
                          </a:prstGeom>
                          <a:noFill/>
                          <a:ln w="9525">
                            <a:noFill/>
                            <a:miter lim="800000"/>
                            <a:headEnd/>
                            <a:tailEnd/>
                          </a:ln>
                        </pic:spPr>
                      </pic:pic>
                    </a:graphicData>
                  </a:graphic>
                </wp:inline>
              </w:drawing>
            </w:r>
          </w:p>
        </w:tc>
        <w:tc>
          <w:tcPr>
            <w:tcW w:w="6486" w:type="dxa"/>
          </w:tcPr>
          <w:p w:rsidR="00451196" w:rsidRPr="009869BA" w:rsidRDefault="00451196" w:rsidP="00451196">
            <w:pPr>
              <w:rPr>
                <w:rFonts w:cs="Arial"/>
                <w:b/>
                <w:color w:val="auto"/>
                <w:sz w:val="20"/>
                <w:szCs w:val="20"/>
              </w:rPr>
            </w:pPr>
            <w:r>
              <w:rPr>
                <w:rFonts w:cs="Arial"/>
                <w:b/>
                <w:color w:val="auto"/>
                <w:sz w:val="20"/>
                <w:szCs w:val="20"/>
              </w:rPr>
              <w:t>Doha Metro</w:t>
            </w:r>
          </w:p>
          <w:p w:rsidR="00451196" w:rsidRPr="009869BA" w:rsidRDefault="00451196" w:rsidP="00451196">
            <w:pPr>
              <w:rPr>
                <w:rFonts w:cs="Arial"/>
                <w:b/>
                <w:color w:val="auto"/>
                <w:sz w:val="20"/>
                <w:szCs w:val="20"/>
              </w:rPr>
            </w:pPr>
          </w:p>
          <w:p w:rsidR="00451196" w:rsidRDefault="00FC7711" w:rsidP="00451196">
            <w:pPr>
              <w:rPr>
                <w:rFonts w:cs="Arial"/>
                <w:color w:val="auto"/>
                <w:sz w:val="20"/>
                <w:szCs w:val="22"/>
              </w:rPr>
            </w:pPr>
            <w:r>
              <w:rPr>
                <w:rFonts w:cs="Arial"/>
                <w:color w:val="auto"/>
                <w:sz w:val="20"/>
                <w:szCs w:val="22"/>
              </w:rPr>
              <w:t>Valmistuttuaan Doha Metro tulee olemaan yksi maailman innovatiivisimmista raideliikennejärjestelmistä.</w:t>
            </w:r>
          </w:p>
          <w:p w:rsidR="00FC7711" w:rsidRPr="00496E9E" w:rsidRDefault="00FC7711" w:rsidP="00451196">
            <w:pPr>
              <w:rPr>
                <w:rFonts w:cs="Arial"/>
                <w:color w:val="auto"/>
                <w:sz w:val="20"/>
                <w:szCs w:val="20"/>
              </w:rPr>
            </w:pPr>
          </w:p>
          <w:p w:rsidR="00451196" w:rsidRPr="002849CB" w:rsidRDefault="00451196" w:rsidP="00451196">
            <w:pPr>
              <w:rPr>
                <w:rFonts w:cs="Arial"/>
                <w:b/>
                <w:color w:val="auto"/>
                <w:sz w:val="20"/>
                <w:szCs w:val="20"/>
              </w:rPr>
            </w:pPr>
            <w:r>
              <w:rPr>
                <w:rFonts w:cs="Arial"/>
                <w:color w:val="auto"/>
                <w:sz w:val="20"/>
                <w:szCs w:val="20"/>
              </w:rPr>
              <w:t>Copyright © Doka</w:t>
            </w:r>
          </w:p>
        </w:tc>
      </w:tr>
      <w:tr w:rsidR="00451196" w:rsidRPr="00B826B5" w:rsidTr="00451196">
        <w:tc>
          <w:tcPr>
            <w:tcW w:w="2802" w:type="dxa"/>
            <w:hideMark/>
          </w:tcPr>
          <w:p w:rsidR="00451196" w:rsidRPr="00B826B5" w:rsidRDefault="00451196" w:rsidP="00451196">
            <w:pPr>
              <w:jc w:val="center"/>
              <w:rPr>
                <w:noProof/>
                <w:sz w:val="16"/>
                <w:szCs w:val="16"/>
              </w:rPr>
            </w:pPr>
            <w:r>
              <w:rPr>
                <w:noProof/>
                <w:sz w:val="16"/>
                <w:szCs w:val="16"/>
                <w:lang w:val="de-DE" w:eastAsia="de-DE" w:bidi="ar-SA"/>
              </w:rPr>
              <w:drawing>
                <wp:inline distT="0" distB="0" distL="0" distR="0">
                  <wp:extent cx="1602105" cy="1068070"/>
                  <wp:effectExtent l="19050" t="0" r="0" b="0"/>
                  <wp:docPr id="18" name="Grafik 4" descr="MidfieldTerminalComplex_(c)Dok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4" descr="MidfieldTerminalComplex_(c)Doka.jpg"/>
                          <pic:cNvPicPr>
                            <a:picLocks noChangeAspect="1" noChangeArrowheads="1"/>
                          </pic:cNvPicPr>
                        </pic:nvPicPr>
                        <pic:blipFill>
                          <a:blip r:embed="rId16" cstate="print"/>
                          <a:srcRect/>
                          <a:stretch>
                            <a:fillRect/>
                          </a:stretch>
                        </pic:blipFill>
                        <pic:spPr bwMode="auto">
                          <a:xfrm>
                            <a:off x="0" y="0"/>
                            <a:ext cx="1602105" cy="1068070"/>
                          </a:xfrm>
                          <a:prstGeom prst="rect">
                            <a:avLst/>
                          </a:prstGeom>
                          <a:noFill/>
                          <a:ln w="9525">
                            <a:noFill/>
                            <a:miter lim="800000"/>
                            <a:headEnd/>
                            <a:tailEnd/>
                          </a:ln>
                        </pic:spPr>
                      </pic:pic>
                    </a:graphicData>
                  </a:graphic>
                </wp:inline>
              </w:drawing>
            </w:r>
          </w:p>
        </w:tc>
        <w:tc>
          <w:tcPr>
            <w:tcW w:w="6486" w:type="dxa"/>
          </w:tcPr>
          <w:p w:rsidR="00451196" w:rsidRPr="009869BA" w:rsidRDefault="00451196" w:rsidP="00451196">
            <w:pPr>
              <w:rPr>
                <w:rFonts w:cs="Arial"/>
                <w:b/>
                <w:color w:val="auto"/>
              </w:rPr>
            </w:pPr>
            <w:r>
              <w:rPr>
                <w:rFonts w:cs="Arial"/>
                <w:b/>
                <w:sz w:val="20"/>
                <w:szCs w:val="22"/>
              </w:rPr>
              <w:t>Midfield Terminal Complex</w:t>
            </w:r>
          </w:p>
          <w:p w:rsidR="00451196" w:rsidRPr="009869BA" w:rsidRDefault="00451196" w:rsidP="00451196">
            <w:pPr>
              <w:rPr>
                <w:rFonts w:cs="Arial"/>
                <w:color w:val="auto"/>
                <w:sz w:val="20"/>
              </w:rPr>
            </w:pPr>
          </w:p>
          <w:p w:rsidR="00451196" w:rsidRPr="00496E9E" w:rsidRDefault="00496E9E" w:rsidP="00451196">
            <w:pPr>
              <w:rPr>
                <w:rFonts w:cs="Arial"/>
                <w:color w:val="auto"/>
                <w:sz w:val="20"/>
              </w:rPr>
            </w:pPr>
            <w:r>
              <w:rPr>
                <w:rFonts w:cs="Arial"/>
                <w:color w:val="auto"/>
                <w:sz w:val="20"/>
              </w:rPr>
              <w:t xml:space="preserve">Midfield Terminal Complex Abu Dhabin kansainvälisellä lentoasemalla on yksi Arabiemiirikuntien vaikuttavimmista tämänhetkisistä rakennushankkeista. </w:t>
            </w:r>
          </w:p>
          <w:p w:rsidR="00496E9E" w:rsidRPr="00496E9E" w:rsidRDefault="00496E9E" w:rsidP="00451196">
            <w:pPr>
              <w:rPr>
                <w:rFonts w:cs="Arial"/>
                <w:color w:val="auto"/>
                <w:sz w:val="20"/>
                <w:szCs w:val="20"/>
              </w:rPr>
            </w:pPr>
          </w:p>
          <w:p w:rsidR="00451196" w:rsidRPr="00B826B5" w:rsidRDefault="00451196" w:rsidP="00451196">
            <w:pPr>
              <w:rPr>
                <w:rFonts w:cs="Arial"/>
                <w:color w:val="auto"/>
              </w:rPr>
            </w:pPr>
            <w:r>
              <w:rPr>
                <w:rFonts w:cs="Arial"/>
                <w:color w:val="auto"/>
                <w:sz w:val="20"/>
                <w:szCs w:val="20"/>
              </w:rPr>
              <w:t>Copyright © Doka</w:t>
            </w:r>
          </w:p>
        </w:tc>
      </w:tr>
      <w:tr w:rsidR="00451196" w:rsidRPr="008B24A4" w:rsidTr="00451196">
        <w:tc>
          <w:tcPr>
            <w:tcW w:w="2802" w:type="dxa"/>
            <w:hideMark/>
          </w:tcPr>
          <w:p w:rsidR="00451196" w:rsidRPr="006717AF" w:rsidRDefault="00451196" w:rsidP="00451196">
            <w:pPr>
              <w:rPr>
                <w:rFonts w:cs="Arial"/>
                <w:color w:val="auto"/>
                <w:sz w:val="20"/>
                <w:szCs w:val="20"/>
              </w:rPr>
            </w:pPr>
            <w:r>
              <w:rPr>
                <w:rFonts w:cs="Arial"/>
                <w:noProof/>
                <w:color w:val="auto"/>
                <w:sz w:val="20"/>
                <w:szCs w:val="20"/>
                <w:lang w:val="de-DE" w:eastAsia="de-DE" w:bidi="ar-SA"/>
              </w:rPr>
              <w:drawing>
                <wp:inline distT="0" distB="0" distL="0" distR="0">
                  <wp:extent cx="1602105" cy="1068070"/>
                  <wp:effectExtent l="19050" t="0" r="0" b="0"/>
                  <wp:docPr id="22" name="Grafik 12" descr="QueensferryCrossing_(c)Dok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2" descr="QueensferryCrossing_(c)Doka.jpg"/>
                          <pic:cNvPicPr>
                            <a:picLocks noChangeAspect="1" noChangeArrowheads="1"/>
                          </pic:cNvPicPr>
                        </pic:nvPicPr>
                        <pic:blipFill>
                          <a:blip r:embed="rId17" cstate="print"/>
                          <a:srcRect/>
                          <a:stretch>
                            <a:fillRect/>
                          </a:stretch>
                        </pic:blipFill>
                        <pic:spPr bwMode="auto">
                          <a:xfrm>
                            <a:off x="0" y="0"/>
                            <a:ext cx="1602105" cy="1068070"/>
                          </a:xfrm>
                          <a:prstGeom prst="rect">
                            <a:avLst/>
                          </a:prstGeom>
                          <a:noFill/>
                          <a:ln w="9525">
                            <a:noFill/>
                            <a:miter lim="800000"/>
                            <a:headEnd/>
                            <a:tailEnd/>
                          </a:ln>
                        </pic:spPr>
                      </pic:pic>
                    </a:graphicData>
                  </a:graphic>
                </wp:inline>
              </w:drawing>
            </w:r>
          </w:p>
        </w:tc>
        <w:tc>
          <w:tcPr>
            <w:tcW w:w="6486" w:type="dxa"/>
          </w:tcPr>
          <w:p w:rsidR="00451196" w:rsidRPr="009869BA" w:rsidRDefault="00451196" w:rsidP="00451196">
            <w:pPr>
              <w:rPr>
                <w:rFonts w:cs="Arial"/>
                <w:b/>
                <w:color w:val="auto"/>
                <w:sz w:val="20"/>
                <w:szCs w:val="20"/>
              </w:rPr>
            </w:pPr>
            <w:r>
              <w:rPr>
                <w:rFonts w:cs="Arial"/>
                <w:b/>
                <w:color w:val="auto"/>
                <w:sz w:val="20"/>
                <w:szCs w:val="20"/>
              </w:rPr>
              <w:t xml:space="preserve">Queensferry Crossing </w:t>
            </w:r>
          </w:p>
          <w:p w:rsidR="00451196" w:rsidRPr="009869BA" w:rsidRDefault="00451196" w:rsidP="00451196">
            <w:pPr>
              <w:rPr>
                <w:rFonts w:cs="Arial"/>
                <w:color w:val="auto"/>
                <w:sz w:val="20"/>
                <w:szCs w:val="20"/>
              </w:rPr>
            </w:pPr>
          </w:p>
          <w:p w:rsidR="00451196" w:rsidRDefault="00496E9E" w:rsidP="00451196">
            <w:pPr>
              <w:rPr>
                <w:rFonts w:cs="Arial"/>
                <w:color w:val="auto"/>
                <w:sz w:val="20"/>
              </w:rPr>
            </w:pPr>
            <w:r>
              <w:rPr>
                <w:rFonts w:cs="Arial"/>
                <w:color w:val="auto"/>
                <w:sz w:val="20"/>
              </w:rPr>
              <w:t>Skotlannin itärannikolla, lähellä Edinburghia, rakennetaan parhaillaan maailman pisintä 3-pylonista vinoköysisiltaa.</w:t>
            </w:r>
          </w:p>
          <w:p w:rsidR="00496E9E" w:rsidRPr="00496E9E" w:rsidRDefault="00496E9E" w:rsidP="00451196">
            <w:pPr>
              <w:rPr>
                <w:rFonts w:cs="Arial"/>
                <w:color w:val="auto"/>
                <w:sz w:val="20"/>
              </w:rPr>
            </w:pPr>
          </w:p>
          <w:p w:rsidR="00451196" w:rsidRPr="008B24A4" w:rsidRDefault="00451196" w:rsidP="00451196">
            <w:pPr>
              <w:rPr>
                <w:rFonts w:cs="Arial"/>
                <w:color w:val="auto"/>
                <w:sz w:val="20"/>
                <w:szCs w:val="20"/>
              </w:rPr>
            </w:pPr>
            <w:r>
              <w:rPr>
                <w:rFonts w:cs="Arial"/>
                <w:color w:val="auto"/>
                <w:sz w:val="20"/>
                <w:szCs w:val="20"/>
              </w:rPr>
              <w:t>Copyright © Doka</w:t>
            </w:r>
          </w:p>
        </w:tc>
      </w:tr>
      <w:tr w:rsidR="00451196" w:rsidRPr="00B826B5" w:rsidTr="00451196">
        <w:tc>
          <w:tcPr>
            <w:tcW w:w="2802" w:type="dxa"/>
            <w:hideMark/>
          </w:tcPr>
          <w:p w:rsidR="00451196" w:rsidRPr="006717AF" w:rsidRDefault="00451196" w:rsidP="00451196">
            <w:pPr>
              <w:jc w:val="center"/>
              <w:rPr>
                <w:rFonts w:cs="Arial"/>
                <w:noProof/>
                <w:color w:val="auto"/>
                <w:sz w:val="20"/>
                <w:szCs w:val="20"/>
              </w:rPr>
            </w:pPr>
            <w:r>
              <w:rPr>
                <w:rFonts w:cs="Arial"/>
                <w:noProof/>
                <w:color w:val="auto"/>
                <w:sz w:val="20"/>
                <w:szCs w:val="20"/>
                <w:lang w:val="de-DE" w:eastAsia="de-DE" w:bidi="ar-SA"/>
              </w:rPr>
              <w:lastRenderedPageBreak/>
              <w:drawing>
                <wp:inline distT="0" distB="0" distL="0" distR="0">
                  <wp:extent cx="1148715" cy="1426210"/>
                  <wp:effectExtent l="19050" t="0" r="0" b="0"/>
                  <wp:docPr id="24" name="Grafik 14" descr="SO223Motorwaybridge_(c)Dok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4" descr="SO223Motorwaybridge_(c)Doka.jpg"/>
                          <pic:cNvPicPr>
                            <a:picLocks noChangeAspect="1" noChangeArrowheads="1"/>
                          </pic:cNvPicPr>
                        </pic:nvPicPr>
                        <pic:blipFill>
                          <a:blip r:embed="rId18" cstate="print"/>
                          <a:srcRect/>
                          <a:stretch>
                            <a:fillRect/>
                          </a:stretch>
                        </pic:blipFill>
                        <pic:spPr bwMode="auto">
                          <a:xfrm>
                            <a:off x="0" y="0"/>
                            <a:ext cx="1148715" cy="1426210"/>
                          </a:xfrm>
                          <a:prstGeom prst="rect">
                            <a:avLst/>
                          </a:prstGeom>
                          <a:noFill/>
                          <a:ln w="9525">
                            <a:noFill/>
                            <a:miter lim="800000"/>
                            <a:headEnd/>
                            <a:tailEnd/>
                          </a:ln>
                        </pic:spPr>
                      </pic:pic>
                    </a:graphicData>
                  </a:graphic>
                </wp:inline>
              </w:drawing>
            </w:r>
          </w:p>
        </w:tc>
        <w:tc>
          <w:tcPr>
            <w:tcW w:w="6486" w:type="dxa"/>
          </w:tcPr>
          <w:p w:rsidR="00451196" w:rsidRPr="009869BA" w:rsidRDefault="00451196" w:rsidP="00451196">
            <w:pPr>
              <w:rPr>
                <w:rFonts w:cs="Arial"/>
                <w:b/>
                <w:sz w:val="20"/>
                <w:szCs w:val="20"/>
              </w:rPr>
            </w:pPr>
            <w:r>
              <w:rPr>
                <w:rFonts w:cs="Arial"/>
                <w:b/>
                <w:sz w:val="20"/>
                <w:szCs w:val="20"/>
              </w:rPr>
              <w:t>Moottoritiesilta SO 223</w:t>
            </w:r>
          </w:p>
          <w:p w:rsidR="00451196" w:rsidRPr="009869BA" w:rsidRDefault="00451196" w:rsidP="00451196">
            <w:pPr>
              <w:rPr>
                <w:rFonts w:cs="Arial"/>
                <w:b/>
                <w:sz w:val="20"/>
                <w:szCs w:val="20"/>
              </w:rPr>
            </w:pPr>
          </w:p>
          <w:p w:rsidR="00451196" w:rsidRPr="00496E9E" w:rsidRDefault="00496E9E" w:rsidP="00451196">
            <w:pPr>
              <w:rPr>
                <w:rFonts w:cs="Arial"/>
                <w:color w:val="auto"/>
                <w:sz w:val="20"/>
                <w:szCs w:val="20"/>
              </w:rPr>
            </w:pPr>
            <w:r>
              <w:rPr>
                <w:rFonts w:cs="Arial"/>
                <w:color w:val="auto"/>
                <w:sz w:val="20"/>
                <w:szCs w:val="20"/>
              </w:rPr>
              <w:t>Yli kilometrin pituinen moottoritien D3 silta lähellä Zilinaa vähentää tulevaisuudessa Slovakian luoteisosan ruuhkia.</w:t>
            </w:r>
          </w:p>
          <w:p w:rsidR="00496E9E" w:rsidRPr="00496E9E" w:rsidRDefault="00496E9E" w:rsidP="00451196">
            <w:pPr>
              <w:rPr>
                <w:rFonts w:cs="Arial"/>
                <w:color w:val="auto"/>
                <w:sz w:val="20"/>
                <w:szCs w:val="20"/>
              </w:rPr>
            </w:pPr>
          </w:p>
          <w:p w:rsidR="00451196" w:rsidRPr="006717AF" w:rsidRDefault="00451196" w:rsidP="00451196">
            <w:pPr>
              <w:rPr>
                <w:rFonts w:cs="Arial"/>
                <w:b/>
                <w:color w:val="auto"/>
                <w:sz w:val="20"/>
                <w:szCs w:val="20"/>
              </w:rPr>
            </w:pPr>
            <w:r>
              <w:rPr>
                <w:rFonts w:cs="Arial"/>
                <w:color w:val="auto"/>
                <w:sz w:val="20"/>
                <w:szCs w:val="20"/>
              </w:rPr>
              <w:t>Copyright © Doka</w:t>
            </w:r>
          </w:p>
        </w:tc>
      </w:tr>
      <w:tr w:rsidR="00451196" w:rsidRPr="00B826B5" w:rsidTr="00451196">
        <w:tc>
          <w:tcPr>
            <w:tcW w:w="2802" w:type="dxa"/>
            <w:hideMark/>
          </w:tcPr>
          <w:p w:rsidR="00451196" w:rsidRDefault="00451196" w:rsidP="00451196">
            <w:pPr>
              <w:jc w:val="center"/>
              <w:rPr>
                <w:rFonts w:cs="Arial"/>
                <w:noProof/>
                <w:color w:val="auto"/>
                <w:sz w:val="20"/>
                <w:szCs w:val="20"/>
              </w:rPr>
            </w:pPr>
            <w:r>
              <w:rPr>
                <w:rFonts w:cs="Arial"/>
                <w:noProof/>
                <w:color w:val="auto"/>
                <w:sz w:val="20"/>
                <w:szCs w:val="20"/>
                <w:lang w:val="de-DE" w:eastAsia="de-DE" w:bidi="ar-SA"/>
              </w:rPr>
              <w:drawing>
                <wp:inline distT="0" distB="0" distL="0" distR="0">
                  <wp:extent cx="936625" cy="1799590"/>
                  <wp:effectExtent l="19050" t="0" r="0" b="0"/>
                  <wp:docPr id="26" name="Grafik 16" descr="Aurora_(c)Elenberg Fras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6" descr="Aurora_(c)Elenberg Fraser.jpg"/>
                          <pic:cNvPicPr>
                            <a:picLocks noChangeAspect="1" noChangeArrowheads="1"/>
                          </pic:cNvPicPr>
                        </pic:nvPicPr>
                        <pic:blipFill>
                          <a:blip r:embed="rId19" cstate="print"/>
                          <a:srcRect/>
                          <a:stretch>
                            <a:fillRect/>
                          </a:stretch>
                        </pic:blipFill>
                        <pic:spPr bwMode="auto">
                          <a:xfrm>
                            <a:off x="0" y="0"/>
                            <a:ext cx="936625" cy="1799590"/>
                          </a:xfrm>
                          <a:prstGeom prst="rect">
                            <a:avLst/>
                          </a:prstGeom>
                          <a:noFill/>
                          <a:ln w="9525">
                            <a:noFill/>
                            <a:miter lim="800000"/>
                            <a:headEnd/>
                            <a:tailEnd/>
                          </a:ln>
                        </pic:spPr>
                      </pic:pic>
                    </a:graphicData>
                  </a:graphic>
                </wp:inline>
              </w:drawing>
            </w:r>
          </w:p>
        </w:tc>
        <w:tc>
          <w:tcPr>
            <w:tcW w:w="6486" w:type="dxa"/>
          </w:tcPr>
          <w:p w:rsidR="00451196" w:rsidRPr="009869BA" w:rsidRDefault="00451196" w:rsidP="00451196">
            <w:pPr>
              <w:rPr>
                <w:rFonts w:cs="Arial"/>
                <w:b/>
                <w:color w:val="auto"/>
                <w:sz w:val="20"/>
                <w:szCs w:val="20"/>
              </w:rPr>
            </w:pPr>
            <w:r>
              <w:rPr>
                <w:rFonts w:cs="Arial"/>
                <w:b/>
                <w:color w:val="auto"/>
                <w:sz w:val="20"/>
                <w:szCs w:val="20"/>
              </w:rPr>
              <w:t xml:space="preserve">Aurora </w:t>
            </w:r>
          </w:p>
          <w:p w:rsidR="00451196" w:rsidRPr="009869BA" w:rsidRDefault="00451196" w:rsidP="00451196">
            <w:pPr>
              <w:rPr>
                <w:rFonts w:cs="Arial"/>
                <w:sz w:val="20"/>
                <w:szCs w:val="20"/>
              </w:rPr>
            </w:pPr>
          </w:p>
          <w:p w:rsidR="00451196" w:rsidRDefault="00496E9E" w:rsidP="00451196">
            <w:pPr>
              <w:rPr>
                <w:rFonts w:cs="Arial"/>
                <w:color w:val="auto"/>
                <w:sz w:val="20"/>
                <w:szCs w:val="20"/>
              </w:rPr>
            </w:pPr>
            <w:r>
              <w:rPr>
                <w:rFonts w:cs="Arial"/>
                <w:color w:val="auto"/>
                <w:sz w:val="20"/>
                <w:szCs w:val="20"/>
              </w:rPr>
              <w:t>Melbournin keskustaan kohoaa kaupungin toiseksi korkein asuinrakennus, josta tulee olemaan jopa suora yhteys City Loop-metrolinjaan.</w:t>
            </w:r>
          </w:p>
          <w:p w:rsidR="00496E9E" w:rsidRPr="00496E9E" w:rsidRDefault="00496E9E" w:rsidP="00451196">
            <w:pPr>
              <w:rPr>
                <w:rFonts w:cs="Arial"/>
                <w:color w:val="auto"/>
                <w:sz w:val="20"/>
                <w:szCs w:val="20"/>
              </w:rPr>
            </w:pPr>
          </w:p>
          <w:p w:rsidR="00451196" w:rsidRPr="006717AF" w:rsidRDefault="00451196" w:rsidP="00451196">
            <w:pPr>
              <w:rPr>
                <w:rFonts w:cs="Arial"/>
                <w:b/>
                <w:sz w:val="20"/>
                <w:szCs w:val="20"/>
              </w:rPr>
            </w:pPr>
            <w:r>
              <w:rPr>
                <w:rFonts w:cs="Arial"/>
                <w:color w:val="auto"/>
                <w:sz w:val="20"/>
                <w:szCs w:val="20"/>
              </w:rPr>
              <w:t>Copyright © Elenberg Fraser</w:t>
            </w:r>
          </w:p>
        </w:tc>
      </w:tr>
    </w:tbl>
    <w:p w:rsidR="00451196" w:rsidRDefault="00451196">
      <w:pPr>
        <w:rPr>
          <w:rFonts w:cs="Arial"/>
          <w:b/>
          <w:sz w:val="20"/>
          <w:szCs w:val="20"/>
        </w:rPr>
      </w:pPr>
    </w:p>
    <w:sectPr w:rsidR="00451196" w:rsidSect="000D5DA9">
      <w:headerReference w:type="default" r:id="rId20"/>
      <w:footerReference w:type="default" r:id="rId21"/>
      <w:pgSz w:w="11906" w:h="16838" w:code="9"/>
      <w:pgMar w:top="2552" w:right="1416" w:bottom="1276" w:left="1418" w:header="709" w:footer="309" w:gutter="0"/>
      <w:cols w:space="708"/>
      <w:formProt w:val="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7E47AA" w:rsidRDefault="007E47AA">
      <w:r>
        <w:separator/>
      </w:r>
    </w:p>
  </w:endnote>
  <w:endnote w:type="continuationSeparator" w:id="0">
    <w:p w:rsidR="007E47AA" w:rsidRDefault="007E47A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43" w:usb2="00000009" w:usb3="00000000" w:csb0="000001FF" w:csb1="00000000"/>
  </w:font>
  <w:font w:name="Tahoma">
    <w:panose1 w:val="020B0604030504040204"/>
    <w:charset w:val="00"/>
    <w:family w:val="swiss"/>
    <w:notTrueType/>
    <w:pitch w:val="variable"/>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 w:name="Calibri">
    <w:panose1 w:val="020F05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368830209"/>
      <w:docPartObj>
        <w:docPartGallery w:val="Page Numbers (Bottom of Page)"/>
        <w:docPartUnique/>
      </w:docPartObj>
    </w:sdtPr>
    <w:sdtEndPr/>
    <w:sdtContent>
      <w:p w:rsidR="00D17B12" w:rsidRDefault="00FB1372">
        <w:pPr>
          <w:pStyle w:val="Fuzeile"/>
          <w:jc w:val="center"/>
        </w:pPr>
        <w:r>
          <w:fldChar w:fldCharType="begin"/>
        </w:r>
        <w:r>
          <w:instrText>PAGE   \* MERGEFORMAT</w:instrText>
        </w:r>
        <w:r>
          <w:fldChar w:fldCharType="separate"/>
        </w:r>
        <w:r w:rsidR="00801A85">
          <w:rPr>
            <w:noProof/>
          </w:rPr>
          <w:t>1</w:t>
        </w:r>
        <w:r>
          <w:rPr>
            <w:noProof/>
          </w:rPr>
          <w:fldChar w:fldCharType="end"/>
        </w:r>
      </w:p>
    </w:sdtContent>
  </w:sdt>
  <w:p w:rsidR="00D17B12" w:rsidRDefault="00D17B12">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7E47AA" w:rsidRDefault="007E47AA">
      <w:r>
        <w:separator/>
      </w:r>
    </w:p>
  </w:footnote>
  <w:footnote w:type="continuationSeparator" w:id="0">
    <w:p w:rsidR="007E47AA" w:rsidRDefault="007E47AA">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D17B12" w:rsidRPr="00CD5933" w:rsidRDefault="00D17B12">
    <w:pPr>
      <w:pStyle w:val="Kopfzeile"/>
      <w:rPr>
        <w:b/>
      </w:rPr>
    </w:pPr>
    <w:r>
      <w:rPr>
        <w:b/>
        <w:noProof/>
        <w:lang w:val="de-DE" w:eastAsia="de-DE" w:bidi="ar-SA"/>
      </w:rPr>
      <w:drawing>
        <wp:anchor distT="0" distB="0" distL="114300" distR="114300" simplePos="0" relativeHeight="251658240" behindDoc="0" locked="0" layoutInCell="1" allowOverlap="1">
          <wp:simplePos x="0" y="0"/>
          <wp:positionH relativeFrom="column">
            <wp:posOffset>4159747</wp:posOffset>
          </wp:positionH>
          <wp:positionV relativeFrom="paragraph">
            <wp:posOffset>-36747</wp:posOffset>
          </wp:positionV>
          <wp:extent cx="1563260" cy="620202"/>
          <wp:effectExtent l="19050" t="0" r="0" b="0"/>
          <wp:wrapNone/>
          <wp:docPr id="27" name="Grafik 27" descr="doka_log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5" descr="doka_logo.jpg"/>
                  <pic:cNvPicPr>
                    <a:picLocks noChangeAspect="1" noChangeArrowheads="1"/>
                  </pic:cNvPicPr>
                </pic:nvPicPr>
                <pic:blipFill>
                  <a:blip r:embed="rId1"/>
                  <a:srcRect/>
                  <a:stretch>
                    <a:fillRect/>
                  </a:stretch>
                </pic:blipFill>
                <pic:spPr bwMode="auto">
                  <a:xfrm>
                    <a:off x="0" y="0"/>
                    <a:ext cx="1562735" cy="619760"/>
                  </a:xfrm>
                  <a:prstGeom prst="rect">
                    <a:avLst/>
                  </a:prstGeom>
                  <a:noFill/>
                  <a:ln w="9525">
                    <a:noFill/>
                    <a:miter lim="800000"/>
                    <a:headEnd/>
                    <a:tailEnd/>
                  </a:ln>
                </pic:spPr>
              </pic:pic>
            </a:graphicData>
          </a:graphic>
        </wp:anchor>
      </w:drawing>
    </w:r>
    <w:r>
      <w:rPr>
        <w:b/>
      </w:rPr>
      <w:t xml:space="preserve">Lehdistötiedote </w:t>
    </w:r>
    <w:r>
      <w:t>/ Helmikuu 2017</w:t>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61B5898"/>
    <w:multiLevelType w:val="multilevel"/>
    <w:tmpl w:val="F356B874"/>
    <w:lvl w:ilvl="0">
      <w:start w:val="1"/>
      <w:numFmt w:val="decimal"/>
      <w:pStyle w:val="berschrift1"/>
      <w:lvlText w:val="%1."/>
      <w:lvlJc w:val="left"/>
      <w:pPr>
        <w:tabs>
          <w:tab w:val="num" w:pos="720"/>
        </w:tabs>
        <w:ind w:left="720" w:hanging="720"/>
      </w:pPr>
    </w:lvl>
    <w:lvl w:ilvl="1">
      <w:start w:val="1"/>
      <w:numFmt w:val="decimal"/>
      <w:pStyle w:val="berschrift2"/>
      <w:lvlText w:val="%2."/>
      <w:lvlJc w:val="left"/>
      <w:pPr>
        <w:tabs>
          <w:tab w:val="num" w:pos="1440"/>
        </w:tabs>
        <w:ind w:left="1440" w:hanging="720"/>
      </w:pPr>
    </w:lvl>
    <w:lvl w:ilvl="2">
      <w:start w:val="1"/>
      <w:numFmt w:val="decimal"/>
      <w:pStyle w:val="berschrift3"/>
      <w:lvlText w:val="%3."/>
      <w:lvlJc w:val="left"/>
      <w:pPr>
        <w:tabs>
          <w:tab w:val="num" w:pos="2160"/>
        </w:tabs>
        <w:ind w:left="2160" w:hanging="720"/>
      </w:pPr>
    </w:lvl>
    <w:lvl w:ilvl="3">
      <w:start w:val="1"/>
      <w:numFmt w:val="decimal"/>
      <w:pStyle w:val="berschrift4"/>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num w:numId="1">
    <w:abstractNumId w:val="0"/>
  </w:num>
  <w:num w:numId="2">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stylePaneFormatFilter w:val="5424" w:allStyles="0" w:customStyles="0" w:latentStyles="1" w:stylesInUse="0" w:headingStyles="1" w:numberingStyles="0" w:tableStyles="0" w:directFormattingOnRuns="0" w:directFormattingOnParagraphs="0" w:directFormattingOnNumbering="1" w:directFormattingOnTables="0" w:clearFormatting="1" w:top3HeadingStyles="0" w:visibleStyles="1" w:alternateStyleNames="0"/>
  <w:defaultTabStop w:val="720"/>
  <w:hyphenationZone w:val="425"/>
  <w:drawingGridHorizontalSpacing w:val="181"/>
  <w:drawingGridVerticalSpacing w:val="181"/>
  <w:doNotUseMarginsForDrawingGridOrigin/>
  <w:drawingGridHorizontalOrigin w:val="1418"/>
  <w:drawingGridVerticalOrigin w:val="2552"/>
  <w:noPunctuationKerning/>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2"/>
  </w:compat>
  <w:rsids>
    <w:rsidRoot w:val="00A6153C"/>
    <w:rsid w:val="00005BA4"/>
    <w:rsid w:val="00007825"/>
    <w:rsid w:val="0001239A"/>
    <w:rsid w:val="00013F4C"/>
    <w:rsid w:val="00015F66"/>
    <w:rsid w:val="00016591"/>
    <w:rsid w:val="0002211D"/>
    <w:rsid w:val="000251EE"/>
    <w:rsid w:val="00030363"/>
    <w:rsid w:val="0004125C"/>
    <w:rsid w:val="000457D7"/>
    <w:rsid w:val="00047A31"/>
    <w:rsid w:val="000508C3"/>
    <w:rsid w:val="0006146F"/>
    <w:rsid w:val="00061C26"/>
    <w:rsid w:val="00063309"/>
    <w:rsid w:val="00066095"/>
    <w:rsid w:val="00072B49"/>
    <w:rsid w:val="00072BF4"/>
    <w:rsid w:val="00073AC8"/>
    <w:rsid w:val="00073C90"/>
    <w:rsid w:val="00074139"/>
    <w:rsid w:val="00076DB5"/>
    <w:rsid w:val="000773D4"/>
    <w:rsid w:val="0007785F"/>
    <w:rsid w:val="00080804"/>
    <w:rsid w:val="00090255"/>
    <w:rsid w:val="000931C4"/>
    <w:rsid w:val="000A0103"/>
    <w:rsid w:val="000A0FDF"/>
    <w:rsid w:val="000A3343"/>
    <w:rsid w:val="000A4782"/>
    <w:rsid w:val="000A6BF4"/>
    <w:rsid w:val="000B16FD"/>
    <w:rsid w:val="000B3791"/>
    <w:rsid w:val="000B7ED1"/>
    <w:rsid w:val="000C09CF"/>
    <w:rsid w:val="000C0E0C"/>
    <w:rsid w:val="000D0C77"/>
    <w:rsid w:val="000D0CDF"/>
    <w:rsid w:val="000D144A"/>
    <w:rsid w:val="000D2D6B"/>
    <w:rsid w:val="000D3FE3"/>
    <w:rsid w:val="000D5DA9"/>
    <w:rsid w:val="000D6DD0"/>
    <w:rsid w:val="000E5454"/>
    <w:rsid w:val="000F0A26"/>
    <w:rsid w:val="000F27D8"/>
    <w:rsid w:val="000F2860"/>
    <w:rsid w:val="000F4755"/>
    <w:rsid w:val="000F6CA7"/>
    <w:rsid w:val="000F78BE"/>
    <w:rsid w:val="00101154"/>
    <w:rsid w:val="00105D2C"/>
    <w:rsid w:val="00105DEF"/>
    <w:rsid w:val="00111C05"/>
    <w:rsid w:val="00116487"/>
    <w:rsid w:val="00121825"/>
    <w:rsid w:val="00121D71"/>
    <w:rsid w:val="001377E1"/>
    <w:rsid w:val="00141D03"/>
    <w:rsid w:val="0014284D"/>
    <w:rsid w:val="0014294F"/>
    <w:rsid w:val="0014353F"/>
    <w:rsid w:val="00145700"/>
    <w:rsid w:val="0015009A"/>
    <w:rsid w:val="00150745"/>
    <w:rsid w:val="00151116"/>
    <w:rsid w:val="001529C9"/>
    <w:rsid w:val="001532FF"/>
    <w:rsid w:val="001550EB"/>
    <w:rsid w:val="00161368"/>
    <w:rsid w:val="00161879"/>
    <w:rsid w:val="001629CD"/>
    <w:rsid w:val="00176DCB"/>
    <w:rsid w:val="00191504"/>
    <w:rsid w:val="00191F1C"/>
    <w:rsid w:val="00192844"/>
    <w:rsid w:val="0019341F"/>
    <w:rsid w:val="00194B58"/>
    <w:rsid w:val="00195444"/>
    <w:rsid w:val="00195F18"/>
    <w:rsid w:val="001A3C69"/>
    <w:rsid w:val="001A4D73"/>
    <w:rsid w:val="001A5480"/>
    <w:rsid w:val="001B0CC6"/>
    <w:rsid w:val="001B1E50"/>
    <w:rsid w:val="001B24D6"/>
    <w:rsid w:val="001B35FB"/>
    <w:rsid w:val="001B4D4E"/>
    <w:rsid w:val="001B66E8"/>
    <w:rsid w:val="001C2B26"/>
    <w:rsid w:val="001D0F7B"/>
    <w:rsid w:val="001D29C9"/>
    <w:rsid w:val="001D775D"/>
    <w:rsid w:val="001E38D6"/>
    <w:rsid w:val="001E625B"/>
    <w:rsid w:val="001F0607"/>
    <w:rsid w:val="001F2BCD"/>
    <w:rsid w:val="001F4501"/>
    <w:rsid w:val="001F5077"/>
    <w:rsid w:val="002002C8"/>
    <w:rsid w:val="0020125E"/>
    <w:rsid w:val="002046D6"/>
    <w:rsid w:val="002051DB"/>
    <w:rsid w:val="002057F9"/>
    <w:rsid w:val="00206107"/>
    <w:rsid w:val="00212D77"/>
    <w:rsid w:val="00215ED7"/>
    <w:rsid w:val="00217920"/>
    <w:rsid w:val="00220433"/>
    <w:rsid w:val="002211DF"/>
    <w:rsid w:val="00221AEA"/>
    <w:rsid w:val="00224041"/>
    <w:rsid w:val="002264AA"/>
    <w:rsid w:val="0022681D"/>
    <w:rsid w:val="00226B07"/>
    <w:rsid w:val="002307F7"/>
    <w:rsid w:val="00230BCC"/>
    <w:rsid w:val="0023241C"/>
    <w:rsid w:val="002349EA"/>
    <w:rsid w:val="00240EA4"/>
    <w:rsid w:val="0024357E"/>
    <w:rsid w:val="0025086C"/>
    <w:rsid w:val="002518A2"/>
    <w:rsid w:val="00255CF7"/>
    <w:rsid w:val="00255FAB"/>
    <w:rsid w:val="00256356"/>
    <w:rsid w:val="002578B7"/>
    <w:rsid w:val="00260E70"/>
    <w:rsid w:val="002616F5"/>
    <w:rsid w:val="00261C0C"/>
    <w:rsid w:val="002634E3"/>
    <w:rsid w:val="00270768"/>
    <w:rsid w:val="00272EB1"/>
    <w:rsid w:val="00275259"/>
    <w:rsid w:val="00276F23"/>
    <w:rsid w:val="00281F1C"/>
    <w:rsid w:val="0028229F"/>
    <w:rsid w:val="00286CEF"/>
    <w:rsid w:val="002878DF"/>
    <w:rsid w:val="00292958"/>
    <w:rsid w:val="00294C53"/>
    <w:rsid w:val="002955F7"/>
    <w:rsid w:val="002A0E48"/>
    <w:rsid w:val="002A560B"/>
    <w:rsid w:val="002A6293"/>
    <w:rsid w:val="002A6736"/>
    <w:rsid w:val="002B17E2"/>
    <w:rsid w:val="002B22B7"/>
    <w:rsid w:val="002B4335"/>
    <w:rsid w:val="002B7048"/>
    <w:rsid w:val="002B77BD"/>
    <w:rsid w:val="002C03E4"/>
    <w:rsid w:val="002C3B72"/>
    <w:rsid w:val="002C4E8E"/>
    <w:rsid w:val="002C52EA"/>
    <w:rsid w:val="002C79F1"/>
    <w:rsid w:val="002D1621"/>
    <w:rsid w:val="002D1CC4"/>
    <w:rsid w:val="002D7C91"/>
    <w:rsid w:val="002E27E0"/>
    <w:rsid w:val="002F0538"/>
    <w:rsid w:val="002F165D"/>
    <w:rsid w:val="002F6989"/>
    <w:rsid w:val="0030061E"/>
    <w:rsid w:val="00304D61"/>
    <w:rsid w:val="00306323"/>
    <w:rsid w:val="00307BFD"/>
    <w:rsid w:val="003129A7"/>
    <w:rsid w:val="00316391"/>
    <w:rsid w:val="00316761"/>
    <w:rsid w:val="00317E4C"/>
    <w:rsid w:val="003254C3"/>
    <w:rsid w:val="00325611"/>
    <w:rsid w:val="00327BF7"/>
    <w:rsid w:val="0033519D"/>
    <w:rsid w:val="003356E5"/>
    <w:rsid w:val="00342C38"/>
    <w:rsid w:val="00343F0D"/>
    <w:rsid w:val="00347A94"/>
    <w:rsid w:val="00350909"/>
    <w:rsid w:val="00352C68"/>
    <w:rsid w:val="003623DB"/>
    <w:rsid w:val="00371B67"/>
    <w:rsid w:val="00372CCC"/>
    <w:rsid w:val="00373D8B"/>
    <w:rsid w:val="00375765"/>
    <w:rsid w:val="00375913"/>
    <w:rsid w:val="003764D7"/>
    <w:rsid w:val="00380A98"/>
    <w:rsid w:val="00383394"/>
    <w:rsid w:val="0038581B"/>
    <w:rsid w:val="00386AD2"/>
    <w:rsid w:val="00387F3B"/>
    <w:rsid w:val="00393CDB"/>
    <w:rsid w:val="00396B21"/>
    <w:rsid w:val="003973EC"/>
    <w:rsid w:val="003A124A"/>
    <w:rsid w:val="003A5B0C"/>
    <w:rsid w:val="003A79FC"/>
    <w:rsid w:val="003B3283"/>
    <w:rsid w:val="003B37F3"/>
    <w:rsid w:val="003B3FCB"/>
    <w:rsid w:val="003C1C72"/>
    <w:rsid w:val="003C733C"/>
    <w:rsid w:val="003D60F9"/>
    <w:rsid w:val="003D6346"/>
    <w:rsid w:val="003D7245"/>
    <w:rsid w:val="003E1B7C"/>
    <w:rsid w:val="003E2106"/>
    <w:rsid w:val="003E4C7C"/>
    <w:rsid w:val="003E679B"/>
    <w:rsid w:val="003F0CB1"/>
    <w:rsid w:val="003F1085"/>
    <w:rsid w:val="003F2D41"/>
    <w:rsid w:val="003F3665"/>
    <w:rsid w:val="00400397"/>
    <w:rsid w:val="00405D3D"/>
    <w:rsid w:val="00410041"/>
    <w:rsid w:val="0041066D"/>
    <w:rsid w:val="004108BD"/>
    <w:rsid w:val="00411F32"/>
    <w:rsid w:val="00414531"/>
    <w:rsid w:val="004165BC"/>
    <w:rsid w:val="00417640"/>
    <w:rsid w:val="004235FA"/>
    <w:rsid w:val="00424EB9"/>
    <w:rsid w:val="004270A9"/>
    <w:rsid w:val="00434A71"/>
    <w:rsid w:val="004361E6"/>
    <w:rsid w:val="00440254"/>
    <w:rsid w:val="00442B48"/>
    <w:rsid w:val="004472FF"/>
    <w:rsid w:val="0045031A"/>
    <w:rsid w:val="00451196"/>
    <w:rsid w:val="004528BC"/>
    <w:rsid w:val="004539AB"/>
    <w:rsid w:val="00455EFF"/>
    <w:rsid w:val="00463017"/>
    <w:rsid w:val="004639B7"/>
    <w:rsid w:val="00463CD4"/>
    <w:rsid w:val="00474177"/>
    <w:rsid w:val="004758D0"/>
    <w:rsid w:val="004827E0"/>
    <w:rsid w:val="0048426A"/>
    <w:rsid w:val="00487811"/>
    <w:rsid w:val="004946CC"/>
    <w:rsid w:val="00496E9E"/>
    <w:rsid w:val="004A0EF2"/>
    <w:rsid w:val="004A11B0"/>
    <w:rsid w:val="004A1FBD"/>
    <w:rsid w:val="004A2637"/>
    <w:rsid w:val="004A2BA0"/>
    <w:rsid w:val="004A2D5C"/>
    <w:rsid w:val="004B0024"/>
    <w:rsid w:val="004B002A"/>
    <w:rsid w:val="004B2484"/>
    <w:rsid w:val="004B3D05"/>
    <w:rsid w:val="004B5200"/>
    <w:rsid w:val="004B524B"/>
    <w:rsid w:val="004B69BB"/>
    <w:rsid w:val="004C4A73"/>
    <w:rsid w:val="004D14F2"/>
    <w:rsid w:val="004D30FB"/>
    <w:rsid w:val="004E01A8"/>
    <w:rsid w:val="004E374C"/>
    <w:rsid w:val="004E3D50"/>
    <w:rsid w:val="004E5EFD"/>
    <w:rsid w:val="004F014C"/>
    <w:rsid w:val="004F0C47"/>
    <w:rsid w:val="004F5B5D"/>
    <w:rsid w:val="005010E5"/>
    <w:rsid w:val="005012EB"/>
    <w:rsid w:val="005015DF"/>
    <w:rsid w:val="0050793E"/>
    <w:rsid w:val="0051465C"/>
    <w:rsid w:val="00514C50"/>
    <w:rsid w:val="005151C6"/>
    <w:rsid w:val="0051534D"/>
    <w:rsid w:val="0051640E"/>
    <w:rsid w:val="00520CC3"/>
    <w:rsid w:val="00522770"/>
    <w:rsid w:val="005229E6"/>
    <w:rsid w:val="005257A0"/>
    <w:rsid w:val="005258D4"/>
    <w:rsid w:val="00531302"/>
    <w:rsid w:val="00533B9D"/>
    <w:rsid w:val="00541415"/>
    <w:rsid w:val="005428D8"/>
    <w:rsid w:val="00542A7C"/>
    <w:rsid w:val="00544822"/>
    <w:rsid w:val="00545998"/>
    <w:rsid w:val="0054776A"/>
    <w:rsid w:val="0055046B"/>
    <w:rsid w:val="00556817"/>
    <w:rsid w:val="005570CF"/>
    <w:rsid w:val="00561CE7"/>
    <w:rsid w:val="00563CE1"/>
    <w:rsid w:val="00564AF1"/>
    <w:rsid w:val="00564C14"/>
    <w:rsid w:val="00582DD5"/>
    <w:rsid w:val="00583C8F"/>
    <w:rsid w:val="005868A0"/>
    <w:rsid w:val="0059373E"/>
    <w:rsid w:val="00594A33"/>
    <w:rsid w:val="005964CD"/>
    <w:rsid w:val="005965EE"/>
    <w:rsid w:val="005A3A0F"/>
    <w:rsid w:val="005B18E3"/>
    <w:rsid w:val="005B242F"/>
    <w:rsid w:val="005B2A2F"/>
    <w:rsid w:val="005B37EA"/>
    <w:rsid w:val="005B5DC6"/>
    <w:rsid w:val="005C05EF"/>
    <w:rsid w:val="005C4ED3"/>
    <w:rsid w:val="005D4F34"/>
    <w:rsid w:val="005D590E"/>
    <w:rsid w:val="005D739D"/>
    <w:rsid w:val="005E06DB"/>
    <w:rsid w:val="005E44B8"/>
    <w:rsid w:val="005E564E"/>
    <w:rsid w:val="005F34BA"/>
    <w:rsid w:val="005F4E67"/>
    <w:rsid w:val="005F52B1"/>
    <w:rsid w:val="006029AE"/>
    <w:rsid w:val="00604E65"/>
    <w:rsid w:val="00605ED4"/>
    <w:rsid w:val="00612BAE"/>
    <w:rsid w:val="0061468A"/>
    <w:rsid w:val="006174CA"/>
    <w:rsid w:val="00617665"/>
    <w:rsid w:val="00621705"/>
    <w:rsid w:val="0062650A"/>
    <w:rsid w:val="00626A22"/>
    <w:rsid w:val="00627D6D"/>
    <w:rsid w:val="00634B1B"/>
    <w:rsid w:val="00637C25"/>
    <w:rsid w:val="00641955"/>
    <w:rsid w:val="006459F5"/>
    <w:rsid w:val="0065228D"/>
    <w:rsid w:val="006542E6"/>
    <w:rsid w:val="006568C4"/>
    <w:rsid w:val="006606F4"/>
    <w:rsid w:val="00663E6B"/>
    <w:rsid w:val="006654C9"/>
    <w:rsid w:val="006717AF"/>
    <w:rsid w:val="00673187"/>
    <w:rsid w:val="006736B3"/>
    <w:rsid w:val="006739CE"/>
    <w:rsid w:val="00673A41"/>
    <w:rsid w:val="006748FC"/>
    <w:rsid w:val="006756A4"/>
    <w:rsid w:val="00676BB2"/>
    <w:rsid w:val="006820E1"/>
    <w:rsid w:val="006856D6"/>
    <w:rsid w:val="0069127B"/>
    <w:rsid w:val="006928B1"/>
    <w:rsid w:val="006A4302"/>
    <w:rsid w:val="006B44CA"/>
    <w:rsid w:val="006B6F45"/>
    <w:rsid w:val="006B75CC"/>
    <w:rsid w:val="006C0CAA"/>
    <w:rsid w:val="006C15E5"/>
    <w:rsid w:val="006C763C"/>
    <w:rsid w:val="006D11DF"/>
    <w:rsid w:val="006D14DB"/>
    <w:rsid w:val="006D1910"/>
    <w:rsid w:val="006D2F3F"/>
    <w:rsid w:val="006D4BCB"/>
    <w:rsid w:val="006D4CE1"/>
    <w:rsid w:val="006D4D7C"/>
    <w:rsid w:val="006E1201"/>
    <w:rsid w:val="006E3561"/>
    <w:rsid w:val="006E384A"/>
    <w:rsid w:val="006E7458"/>
    <w:rsid w:val="006F35D5"/>
    <w:rsid w:val="006F3796"/>
    <w:rsid w:val="006F3DE4"/>
    <w:rsid w:val="006F4ED2"/>
    <w:rsid w:val="006F5ECD"/>
    <w:rsid w:val="00700FC1"/>
    <w:rsid w:val="0070651A"/>
    <w:rsid w:val="007107B6"/>
    <w:rsid w:val="00711D05"/>
    <w:rsid w:val="00711EC6"/>
    <w:rsid w:val="007131C0"/>
    <w:rsid w:val="00730BD4"/>
    <w:rsid w:val="00734EC0"/>
    <w:rsid w:val="00743D15"/>
    <w:rsid w:val="00745323"/>
    <w:rsid w:val="0074598C"/>
    <w:rsid w:val="007468BB"/>
    <w:rsid w:val="00747EB0"/>
    <w:rsid w:val="00750C8A"/>
    <w:rsid w:val="00754E98"/>
    <w:rsid w:val="0075535D"/>
    <w:rsid w:val="007600F7"/>
    <w:rsid w:val="007603B5"/>
    <w:rsid w:val="007619EF"/>
    <w:rsid w:val="00765BFB"/>
    <w:rsid w:val="007662FB"/>
    <w:rsid w:val="00782A7A"/>
    <w:rsid w:val="007961D9"/>
    <w:rsid w:val="00796531"/>
    <w:rsid w:val="007A0C37"/>
    <w:rsid w:val="007A1CF6"/>
    <w:rsid w:val="007A4A33"/>
    <w:rsid w:val="007B112B"/>
    <w:rsid w:val="007B27E3"/>
    <w:rsid w:val="007B36E6"/>
    <w:rsid w:val="007B4711"/>
    <w:rsid w:val="007C0226"/>
    <w:rsid w:val="007C1F7C"/>
    <w:rsid w:val="007C4F72"/>
    <w:rsid w:val="007C5DA2"/>
    <w:rsid w:val="007D13FB"/>
    <w:rsid w:val="007D315C"/>
    <w:rsid w:val="007D3940"/>
    <w:rsid w:val="007D4B74"/>
    <w:rsid w:val="007D561C"/>
    <w:rsid w:val="007D7894"/>
    <w:rsid w:val="007E02B6"/>
    <w:rsid w:val="007E09C2"/>
    <w:rsid w:val="007E243A"/>
    <w:rsid w:val="007E2B1C"/>
    <w:rsid w:val="007E3FCC"/>
    <w:rsid w:val="007E47AA"/>
    <w:rsid w:val="007F1B5C"/>
    <w:rsid w:val="007F3DE0"/>
    <w:rsid w:val="007F5A91"/>
    <w:rsid w:val="008007C2"/>
    <w:rsid w:val="00801A85"/>
    <w:rsid w:val="00802C3F"/>
    <w:rsid w:val="008032B0"/>
    <w:rsid w:val="0080424D"/>
    <w:rsid w:val="008071E0"/>
    <w:rsid w:val="00807495"/>
    <w:rsid w:val="008122E0"/>
    <w:rsid w:val="008135DF"/>
    <w:rsid w:val="008168B4"/>
    <w:rsid w:val="00822273"/>
    <w:rsid w:val="00826274"/>
    <w:rsid w:val="00835E9E"/>
    <w:rsid w:val="00836470"/>
    <w:rsid w:val="00841263"/>
    <w:rsid w:val="00841BA0"/>
    <w:rsid w:val="0084602A"/>
    <w:rsid w:val="008515D0"/>
    <w:rsid w:val="00853D71"/>
    <w:rsid w:val="00855FC1"/>
    <w:rsid w:val="00856656"/>
    <w:rsid w:val="00856F1F"/>
    <w:rsid w:val="00860B22"/>
    <w:rsid w:val="00861327"/>
    <w:rsid w:val="00861C28"/>
    <w:rsid w:val="00862648"/>
    <w:rsid w:val="00871CEE"/>
    <w:rsid w:val="00873487"/>
    <w:rsid w:val="0087423F"/>
    <w:rsid w:val="00875700"/>
    <w:rsid w:val="00877795"/>
    <w:rsid w:val="0088308E"/>
    <w:rsid w:val="008850B1"/>
    <w:rsid w:val="0088590F"/>
    <w:rsid w:val="00890BE8"/>
    <w:rsid w:val="0089196C"/>
    <w:rsid w:val="00892BD9"/>
    <w:rsid w:val="00893709"/>
    <w:rsid w:val="008938F0"/>
    <w:rsid w:val="00894E04"/>
    <w:rsid w:val="00895D13"/>
    <w:rsid w:val="008A20B2"/>
    <w:rsid w:val="008A74FD"/>
    <w:rsid w:val="008B7FD4"/>
    <w:rsid w:val="008C0C88"/>
    <w:rsid w:val="008C24F7"/>
    <w:rsid w:val="008C3FD8"/>
    <w:rsid w:val="008C7981"/>
    <w:rsid w:val="008C7DAB"/>
    <w:rsid w:val="008D1E1D"/>
    <w:rsid w:val="008D3FB1"/>
    <w:rsid w:val="008D6371"/>
    <w:rsid w:val="008D7408"/>
    <w:rsid w:val="008E01B1"/>
    <w:rsid w:val="008E371D"/>
    <w:rsid w:val="008E5BB0"/>
    <w:rsid w:val="008F214C"/>
    <w:rsid w:val="008F40DE"/>
    <w:rsid w:val="008F6AC4"/>
    <w:rsid w:val="009027AB"/>
    <w:rsid w:val="009036B6"/>
    <w:rsid w:val="009059DD"/>
    <w:rsid w:val="00911A16"/>
    <w:rsid w:val="00911FB7"/>
    <w:rsid w:val="0091326C"/>
    <w:rsid w:val="0091399C"/>
    <w:rsid w:val="009142E4"/>
    <w:rsid w:val="00915E5F"/>
    <w:rsid w:val="00920B72"/>
    <w:rsid w:val="00923505"/>
    <w:rsid w:val="009236DB"/>
    <w:rsid w:val="009249D5"/>
    <w:rsid w:val="00925429"/>
    <w:rsid w:val="0093020F"/>
    <w:rsid w:val="00930A05"/>
    <w:rsid w:val="009355F1"/>
    <w:rsid w:val="00940041"/>
    <w:rsid w:val="0094256F"/>
    <w:rsid w:val="00946116"/>
    <w:rsid w:val="00947507"/>
    <w:rsid w:val="00947EF7"/>
    <w:rsid w:val="00950FA8"/>
    <w:rsid w:val="009517DB"/>
    <w:rsid w:val="00955FDB"/>
    <w:rsid w:val="009641AB"/>
    <w:rsid w:val="00966E67"/>
    <w:rsid w:val="00971C3F"/>
    <w:rsid w:val="00971E7C"/>
    <w:rsid w:val="00973C6E"/>
    <w:rsid w:val="00975006"/>
    <w:rsid w:val="009753D5"/>
    <w:rsid w:val="00980B19"/>
    <w:rsid w:val="009834DC"/>
    <w:rsid w:val="0098373F"/>
    <w:rsid w:val="009863A1"/>
    <w:rsid w:val="009869BA"/>
    <w:rsid w:val="00990240"/>
    <w:rsid w:val="00992DAA"/>
    <w:rsid w:val="009A00A8"/>
    <w:rsid w:val="009A0EB6"/>
    <w:rsid w:val="009A1B3F"/>
    <w:rsid w:val="009A2A80"/>
    <w:rsid w:val="009A3E1E"/>
    <w:rsid w:val="009B4B1A"/>
    <w:rsid w:val="009B6072"/>
    <w:rsid w:val="009C1E1D"/>
    <w:rsid w:val="009C1FFB"/>
    <w:rsid w:val="009C66DE"/>
    <w:rsid w:val="009C684A"/>
    <w:rsid w:val="009D0B44"/>
    <w:rsid w:val="009D1C8E"/>
    <w:rsid w:val="009D41BF"/>
    <w:rsid w:val="009E229B"/>
    <w:rsid w:val="009E3BD4"/>
    <w:rsid w:val="009F502C"/>
    <w:rsid w:val="009F780B"/>
    <w:rsid w:val="00A007F9"/>
    <w:rsid w:val="00A01B56"/>
    <w:rsid w:val="00A0387C"/>
    <w:rsid w:val="00A051BC"/>
    <w:rsid w:val="00A118DB"/>
    <w:rsid w:val="00A14830"/>
    <w:rsid w:val="00A17DD2"/>
    <w:rsid w:val="00A21212"/>
    <w:rsid w:val="00A247B8"/>
    <w:rsid w:val="00A25681"/>
    <w:rsid w:val="00A262A3"/>
    <w:rsid w:val="00A4043A"/>
    <w:rsid w:val="00A45662"/>
    <w:rsid w:val="00A46800"/>
    <w:rsid w:val="00A47712"/>
    <w:rsid w:val="00A47ECD"/>
    <w:rsid w:val="00A52068"/>
    <w:rsid w:val="00A53906"/>
    <w:rsid w:val="00A6153C"/>
    <w:rsid w:val="00A62EEB"/>
    <w:rsid w:val="00A6492D"/>
    <w:rsid w:val="00A67DE6"/>
    <w:rsid w:val="00A741F9"/>
    <w:rsid w:val="00A758AD"/>
    <w:rsid w:val="00A80792"/>
    <w:rsid w:val="00A80C2B"/>
    <w:rsid w:val="00A80CDE"/>
    <w:rsid w:val="00A833FC"/>
    <w:rsid w:val="00A84EC2"/>
    <w:rsid w:val="00A906E3"/>
    <w:rsid w:val="00A9261C"/>
    <w:rsid w:val="00A957C5"/>
    <w:rsid w:val="00A97204"/>
    <w:rsid w:val="00AA1120"/>
    <w:rsid w:val="00AA26CB"/>
    <w:rsid w:val="00AA4BB9"/>
    <w:rsid w:val="00AA6E53"/>
    <w:rsid w:val="00AB4CCF"/>
    <w:rsid w:val="00AB5699"/>
    <w:rsid w:val="00AB72BC"/>
    <w:rsid w:val="00AC302C"/>
    <w:rsid w:val="00AE3D60"/>
    <w:rsid w:val="00AE4731"/>
    <w:rsid w:val="00AE48EB"/>
    <w:rsid w:val="00AE68AC"/>
    <w:rsid w:val="00AF032B"/>
    <w:rsid w:val="00AF0FDF"/>
    <w:rsid w:val="00AF23AF"/>
    <w:rsid w:val="00AF3941"/>
    <w:rsid w:val="00AF4B4A"/>
    <w:rsid w:val="00AF585E"/>
    <w:rsid w:val="00AF7050"/>
    <w:rsid w:val="00AF7F56"/>
    <w:rsid w:val="00B02885"/>
    <w:rsid w:val="00B03209"/>
    <w:rsid w:val="00B10489"/>
    <w:rsid w:val="00B11BA4"/>
    <w:rsid w:val="00B17A67"/>
    <w:rsid w:val="00B17C01"/>
    <w:rsid w:val="00B31243"/>
    <w:rsid w:val="00B3679E"/>
    <w:rsid w:val="00B373B7"/>
    <w:rsid w:val="00B43CC4"/>
    <w:rsid w:val="00B4730F"/>
    <w:rsid w:val="00B5328D"/>
    <w:rsid w:val="00B56D6D"/>
    <w:rsid w:val="00B62D1A"/>
    <w:rsid w:val="00B719C9"/>
    <w:rsid w:val="00B719DE"/>
    <w:rsid w:val="00B75217"/>
    <w:rsid w:val="00B813AC"/>
    <w:rsid w:val="00B826B5"/>
    <w:rsid w:val="00B84101"/>
    <w:rsid w:val="00B86A9F"/>
    <w:rsid w:val="00B878D2"/>
    <w:rsid w:val="00B924BD"/>
    <w:rsid w:val="00BA38D4"/>
    <w:rsid w:val="00BA412F"/>
    <w:rsid w:val="00BA4A3F"/>
    <w:rsid w:val="00BA6027"/>
    <w:rsid w:val="00BA7D13"/>
    <w:rsid w:val="00BB09FF"/>
    <w:rsid w:val="00BB20C3"/>
    <w:rsid w:val="00BB2D35"/>
    <w:rsid w:val="00BB4BA6"/>
    <w:rsid w:val="00BB5CC5"/>
    <w:rsid w:val="00BD1DD6"/>
    <w:rsid w:val="00BD525F"/>
    <w:rsid w:val="00BD6411"/>
    <w:rsid w:val="00BD7680"/>
    <w:rsid w:val="00BE61BE"/>
    <w:rsid w:val="00BE6351"/>
    <w:rsid w:val="00BE71A5"/>
    <w:rsid w:val="00BF3671"/>
    <w:rsid w:val="00BF3DC0"/>
    <w:rsid w:val="00BF428A"/>
    <w:rsid w:val="00BF4F07"/>
    <w:rsid w:val="00BF4F0B"/>
    <w:rsid w:val="00BF53C0"/>
    <w:rsid w:val="00C020CB"/>
    <w:rsid w:val="00C0412F"/>
    <w:rsid w:val="00C0557D"/>
    <w:rsid w:val="00C07178"/>
    <w:rsid w:val="00C07526"/>
    <w:rsid w:val="00C1206D"/>
    <w:rsid w:val="00C16CD2"/>
    <w:rsid w:val="00C2015C"/>
    <w:rsid w:val="00C30704"/>
    <w:rsid w:val="00C3199D"/>
    <w:rsid w:val="00C33660"/>
    <w:rsid w:val="00C35CD9"/>
    <w:rsid w:val="00C35DBF"/>
    <w:rsid w:val="00C54060"/>
    <w:rsid w:val="00C540FC"/>
    <w:rsid w:val="00C54DD9"/>
    <w:rsid w:val="00C57635"/>
    <w:rsid w:val="00C6065C"/>
    <w:rsid w:val="00C62D1E"/>
    <w:rsid w:val="00C700EB"/>
    <w:rsid w:val="00C75B31"/>
    <w:rsid w:val="00C76077"/>
    <w:rsid w:val="00C766A5"/>
    <w:rsid w:val="00C82CDD"/>
    <w:rsid w:val="00C84193"/>
    <w:rsid w:val="00C846DE"/>
    <w:rsid w:val="00C87F73"/>
    <w:rsid w:val="00C921E7"/>
    <w:rsid w:val="00C9415A"/>
    <w:rsid w:val="00C969D7"/>
    <w:rsid w:val="00C97B3E"/>
    <w:rsid w:val="00CA02FA"/>
    <w:rsid w:val="00CA269C"/>
    <w:rsid w:val="00CA624E"/>
    <w:rsid w:val="00CC0A5F"/>
    <w:rsid w:val="00CC21AB"/>
    <w:rsid w:val="00CC3127"/>
    <w:rsid w:val="00CC4F29"/>
    <w:rsid w:val="00CC578C"/>
    <w:rsid w:val="00CC6205"/>
    <w:rsid w:val="00CC7851"/>
    <w:rsid w:val="00CC78E2"/>
    <w:rsid w:val="00CD5933"/>
    <w:rsid w:val="00CE0B80"/>
    <w:rsid w:val="00CE2959"/>
    <w:rsid w:val="00CE355D"/>
    <w:rsid w:val="00CE433C"/>
    <w:rsid w:val="00CE52CF"/>
    <w:rsid w:val="00CE5566"/>
    <w:rsid w:val="00CE5CFC"/>
    <w:rsid w:val="00CE716B"/>
    <w:rsid w:val="00CE76AB"/>
    <w:rsid w:val="00CF3205"/>
    <w:rsid w:val="00CF52D3"/>
    <w:rsid w:val="00CF7234"/>
    <w:rsid w:val="00CF7474"/>
    <w:rsid w:val="00CF77C8"/>
    <w:rsid w:val="00D06175"/>
    <w:rsid w:val="00D06D86"/>
    <w:rsid w:val="00D10349"/>
    <w:rsid w:val="00D13D5D"/>
    <w:rsid w:val="00D16444"/>
    <w:rsid w:val="00D16F2B"/>
    <w:rsid w:val="00D17B12"/>
    <w:rsid w:val="00D21002"/>
    <w:rsid w:val="00D2327C"/>
    <w:rsid w:val="00D260AF"/>
    <w:rsid w:val="00D3223E"/>
    <w:rsid w:val="00D35DAE"/>
    <w:rsid w:val="00D366AC"/>
    <w:rsid w:val="00D36B24"/>
    <w:rsid w:val="00D40AAE"/>
    <w:rsid w:val="00D40C9E"/>
    <w:rsid w:val="00D41234"/>
    <w:rsid w:val="00D42D17"/>
    <w:rsid w:val="00D45410"/>
    <w:rsid w:val="00D51ABB"/>
    <w:rsid w:val="00D5259A"/>
    <w:rsid w:val="00D53AF3"/>
    <w:rsid w:val="00D54F3D"/>
    <w:rsid w:val="00D5564E"/>
    <w:rsid w:val="00D5596D"/>
    <w:rsid w:val="00D56899"/>
    <w:rsid w:val="00D574E5"/>
    <w:rsid w:val="00D663D3"/>
    <w:rsid w:val="00D70E7C"/>
    <w:rsid w:val="00D76662"/>
    <w:rsid w:val="00D77625"/>
    <w:rsid w:val="00D7770E"/>
    <w:rsid w:val="00D9470E"/>
    <w:rsid w:val="00D95201"/>
    <w:rsid w:val="00D97D51"/>
    <w:rsid w:val="00DA0E1E"/>
    <w:rsid w:val="00DA2461"/>
    <w:rsid w:val="00DA3001"/>
    <w:rsid w:val="00DA459A"/>
    <w:rsid w:val="00DB2473"/>
    <w:rsid w:val="00DB5360"/>
    <w:rsid w:val="00DB557B"/>
    <w:rsid w:val="00DB59D2"/>
    <w:rsid w:val="00DC2C02"/>
    <w:rsid w:val="00DC30D3"/>
    <w:rsid w:val="00DC34EE"/>
    <w:rsid w:val="00DC512F"/>
    <w:rsid w:val="00DD0AA3"/>
    <w:rsid w:val="00DD4C53"/>
    <w:rsid w:val="00DE09B4"/>
    <w:rsid w:val="00DE1F2C"/>
    <w:rsid w:val="00DE2E10"/>
    <w:rsid w:val="00DE38FC"/>
    <w:rsid w:val="00DF3ACC"/>
    <w:rsid w:val="00DF3C91"/>
    <w:rsid w:val="00DF7245"/>
    <w:rsid w:val="00E01C63"/>
    <w:rsid w:val="00E0389B"/>
    <w:rsid w:val="00E0466D"/>
    <w:rsid w:val="00E137A8"/>
    <w:rsid w:val="00E14D84"/>
    <w:rsid w:val="00E15D95"/>
    <w:rsid w:val="00E17FCD"/>
    <w:rsid w:val="00E22E7C"/>
    <w:rsid w:val="00E30100"/>
    <w:rsid w:val="00E40EE7"/>
    <w:rsid w:val="00E42DE3"/>
    <w:rsid w:val="00E45390"/>
    <w:rsid w:val="00E45486"/>
    <w:rsid w:val="00E454A2"/>
    <w:rsid w:val="00E458C1"/>
    <w:rsid w:val="00E46FD1"/>
    <w:rsid w:val="00E51BBF"/>
    <w:rsid w:val="00E5513B"/>
    <w:rsid w:val="00E5630B"/>
    <w:rsid w:val="00E60118"/>
    <w:rsid w:val="00E64844"/>
    <w:rsid w:val="00E70E3F"/>
    <w:rsid w:val="00E71EE3"/>
    <w:rsid w:val="00E75DC6"/>
    <w:rsid w:val="00E80160"/>
    <w:rsid w:val="00E80C5C"/>
    <w:rsid w:val="00E821B8"/>
    <w:rsid w:val="00E863D4"/>
    <w:rsid w:val="00E90D17"/>
    <w:rsid w:val="00E92FD5"/>
    <w:rsid w:val="00E97A60"/>
    <w:rsid w:val="00EA0280"/>
    <w:rsid w:val="00EA1C33"/>
    <w:rsid w:val="00EA377C"/>
    <w:rsid w:val="00EB4DF6"/>
    <w:rsid w:val="00EC097D"/>
    <w:rsid w:val="00EC544C"/>
    <w:rsid w:val="00EC77A6"/>
    <w:rsid w:val="00EC7A4A"/>
    <w:rsid w:val="00ED0E44"/>
    <w:rsid w:val="00ED11AA"/>
    <w:rsid w:val="00EE72DE"/>
    <w:rsid w:val="00EF035C"/>
    <w:rsid w:val="00EF624C"/>
    <w:rsid w:val="00F102C6"/>
    <w:rsid w:val="00F10806"/>
    <w:rsid w:val="00F12941"/>
    <w:rsid w:val="00F14D8B"/>
    <w:rsid w:val="00F15F1C"/>
    <w:rsid w:val="00F162CE"/>
    <w:rsid w:val="00F20741"/>
    <w:rsid w:val="00F216B2"/>
    <w:rsid w:val="00F242A6"/>
    <w:rsid w:val="00F3010D"/>
    <w:rsid w:val="00F31A6C"/>
    <w:rsid w:val="00F3290B"/>
    <w:rsid w:val="00F355B0"/>
    <w:rsid w:val="00F500C7"/>
    <w:rsid w:val="00F50BEE"/>
    <w:rsid w:val="00F5420C"/>
    <w:rsid w:val="00F5492A"/>
    <w:rsid w:val="00F55A4E"/>
    <w:rsid w:val="00F561EE"/>
    <w:rsid w:val="00F57AAF"/>
    <w:rsid w:val="00F66A0B"/>
    <w:rsid w:val="00F7059C"/>
    <w:rsid w:val="00F70AAD"/>
    <w:rsid w:val="00F7122E"/>
    <w:rsid w:val="00F74863"/>
    <w:rsid w:val="00F76C46"/>
    <w:rsid w:val="00F76EFC"/>
    <w:rsid w:val="00F8474C"/>
    <w:rsid w:val="00F85B7A"/>
    <w:rsid w:val="00F85DC1"/>
    <w:rsid w:val="00F97455"/>
    <w:rsid w:val="00FA4985"/>
    <w:rsid w:val="00FA4A2C"/>
    <w:rsid w:val="00FA7083"/>
    <w:rsid w:val="00FB1372"/>
    <w:rsid w:val="00FB264D"/>
    <w:rsid w:val="00FB5539"/>
    <w:rsid w:val="00FB575D"/>
    <w:rsid w:val="00FB6C5B"/>
    <w:rsid w:val="00FC06EC"/>
    <w:rsid w:val="00FC5068"/>
    <w:rsid w:val="00FC7711"/>
    <w:rsid w:val="00FD2175"/>
    <w:rsid w:val="00FF39CC"/>
    <w:rsid w:val="00FF3C30"/>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5:docId w15:val="{C98E97E9-592F-4F8E-9D78-D0B9A4FFB03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fi-FI" w:eastAsia="fi-FI" w:bidi="fi-FI"/>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sid w:val="00C846DE"/>
    <w:rPr>
      <w:rFonts w:ascii="Arial" w:hAnsi="Arial"/>
      <w:color w:val="000000"/>
      <w:sz w:val="22"/>
      <w:szCs w:val="24"/>
    </w:rPr>
  </w:style>
  <w:style w:type="paragraph" w:styleId="berschrift1">
    <w:name w:val="heading 1"/>
    <w:basedOn w:val="Standard"/>
    <w:next w:val="Standard"/>
    <w:qFormat/>
    <w:rsid w:val="00925429"/>
    <w:pPr>
      <w:keepNext/>
      <w:numPr>
        <w:numId w:val="1"/>
      </w:numPr>
      <w:tabs>
        <w:tab w:val="left" w:pos="284"/>
      </w:tabs>
      <w:outlineLvl w:val="0"/>
    </w:pPr>
    <w:rPr>
      <w:b/>
      <w:bCs/>
      <w:u w:val="single"/>
    </w:rPr>
  </w:style>
  <w:style w:type="paragraph" w:styleId="berschrift2">
    <w:name w:val="heading 2"/>
    <w:basedOn w:val="Standard"/>
    <w:next w:val="Standard"/>
    <w:qFormat/>
    <w:rsid w:val="00925429"/>
    <w:pPr>
      <w:keepNext/>
      <w:numPr>
        <w:ilvl w:val="1"/>
        <w:numId w:val="1"/>
      </w:numPr>
      <w:tabs>
        <w:tab w:val="left" w:pos="567"/>
      </w:tabs>
      <w:outlineLvl w:val="1"/>
    </w:pPr>
    <w:rPr>
      <w:b/>
      <w:bCs/>
    </w:rPr>
  </w:style>
  <w:style w:type="paragraph" w:styleId="berschrift3">
    <w:name w:val="heading 3"/>
    <w:basedOn w:val="Standard"/>
    <w:next w:val="Standard"/>
    <w:qFormat/>
    <w:rsid w:val="00925429"/>
    <w:pPr>
      <w:keepNext/>
      <w:numPr>
        <w:ilvl w:val="2"/>
        <w:numId w:val="1"/>
      </w:numPr>
      <w:tabs>
        <w:tab w:val="num" w:pos="720"/>
        <w:tab w:val="left" w:pos="851"/>
      </w:tabs>
      <w:outlineLvl w:val="2"/>
    </w:pPr>
    <w:rPr>
      <w:bCs/>
      <w:u w:val="single"/>
    </w:rPr>
  </w:style>
  <w:style w:type="paragraph" w:styleId="berschrift4">
    <w:name w:val="heading 4"/>
    <w:basedOn w:val="Standard"/>
    <w:next w:val="Standard"/>
    <w:qFormat/>
    <w:rsid w:val="00925429"/>
    <w:pPr>
      <w:keepNext/>
      <w:numPr>
        <w:ilvl w:val="3"/>
        <w:numId w:val="1"/>
      </w:numPr>
      <w:tabs>
        <w:tab w:val="num" w:pos="720"/>
        <w:tab w:val="left" w:pos="1134"/>
      </w:tabs>
      <w:overflowPunct w:val="0"/>
      <w:autoSpaceDE w:val="0"/>
      <w:autoSpaceDN w:val="0"/>
      <w:adjustRightInd w:val="0"/>
      <w:textAlignment w:val="baseline"/>
      <w:outlineLvl w:val="3"/>
    </w:pPr>
    <w:rPr>
      <w:szCs w:val="20"/>
    </w:rPr>
  </w:style>
  <w:style w:type="paragraph" w:styleId="berschrift5">
    <w:name w:val="heading 5"/>
    <w:basedOn w:val="Standard"/>
    <w:next w:val="Standard"/>
    <w:qFormat/>
    <w:rsid w:val="00925429"/>
    <w:pPr>
      <w:overflowPunct w:val="0"/>
      <w:autoSpaceDE w:val="0"/>
      <w:autoSpaceDN w:val="0"/>
      <w:adjustRightInd w:val="0"/>
      <w:spacing w:before="240" w:after="60"/>
      <w:textAlignment w:val="baseline"/>
      <w:outlineLvl w:val="4"/>
    </w:pPr>
    <w:rPr>
      <w:b/>
      <w:i/>
      <w:sz w:val="26"/>
      <w:szCs w:val="20"/>
    </w:rPr>
  </w:style>
  <w:style w:type="paragraph" w:styleId="berschrift6">
    <w:name w:val="heading 6"/>
    <w:basedOn w:val="Standard"/>
    <w:next w:val="Standard"/>
    <w:qFormat/>
    <w:rsid w:val="00925429"/>
    <w:pPr>
      <w:overflowPunct w:val="0"/>
      <w:autoSpaceDE w:val="0"/>
      <w:autoSpaceDN w:val="0"/>
      <w:adjustRightInd w:val="0"/>
      <w:spacing w:before="240" w:after="60"/>
      <w:textAlignment w:val="baseline"/>
      <w:outlineLvl w:val="5"/>
    </w:pPr>
    <w:rPr>
      <w:b/>
      <w:szCs w:val="20"/>
    </w:rPr>
  </w:style>
  <w:style w:type="paragraph" w:styleId="berschrift7">
    <w:name w:val="heading 7"/>
    <w:basedOn w:val="Standard"/>
    <w:next w:val="Standard"/>
    <w:qFormat/>
    <w:rsid w:val="00925429"/>
    <w:pPr>
      <w:overflowPunct w:val="0"/>
      <w:autoSpaceDE w:val="0"/>
      <w:autoSpaceDN w:val="0"/>
      <w:adjustRightInd w:val="0"/>
      <w:spacing w:before="240" w:after="60"/>
      <w:textAlignment w:val="baseline"/>
      <w:outlineLvl w:val="6"/>
    </w:pPr>
    <w:rPr>
      <w:szCs w:val="20"/>
    </w:rPr>
  </w:style>
  <w:style w:type="paragraph" w:styleId="berschrift8">
    <w:name w:val="heading 8"/>
    <w:basedOn w:val="Standard"/>
    <w:next w:val="Standard"/>
    <w:qFormat/>
    <w:rsid w:val="00925429"/>
    <w:pPr>
      <w:overflowPunct w:val="0"/>
      <w:autoSpaceDE w:val="0"/>
      <w:autoSpaceDN w:val="0"/>
      <w:adjustRightInd w:val="0"/>
      <w:spacing w:before="240" w:after="60"/>
      <w:textAlignment w:val="baseline"/>
      <w:outlineLvl w:val="7"/>
    </w:pPr>
    <w:rPr>
      <w:i/>
      <w:szCs w:val="20"/>
    </w:rPr>
  </w:style>
  <w:style w:type="paragraph" w:styleId="berschrift9">
    <w:name w:val="heading 9"/>
    <w:basedOn w:val="Standard"/>
    <w:next w:val="Standard"/>
    <w:qFormat/>
    <w:rsid w:val="00925429"/>
    <w:pPr>
      <w:overflowPunct w:val="0"/>
      <w:autoSpaceDE w:val="0"/>
      <w:autoSpaceDN w:val="0"/>
      <w:adjustRightInd w:val="0"/>
      <w:spacing w:before="240" w:after="60"/>
      <w:textAlignment w:val="baseline"/>
      <w:outlineLvl w:val="8"/>
    </w:pPr>
    <w:rPr>
      <w:szCs w:val="20"/>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semiHidden/>
    <w:rsid w:val="00925429"/>
    <w:pPr>
      <w:tabs>
        <w:tab w:val="center" w:pos="4536"/>
        <w:tab w:val="right" w:pos="9072"/>
      </w:tabs>
    </w:pPr>
  </w:style>
  <w:style w:type="paragraph" w:styleId="Fuzeile">
    <w:name w:val="footer"/>
    <w:basedOn w:val="Standard"/>
    <w:link w:val="FuzeileZchn"/>
    <w:uiPriority w:val="99"/>
    <w:rsid w:val="00925429"/>
    <w:pPr>
      <w:tabs>
        <w:tab w:val="center" w:pos="4536"/>
        <w:tab w:val="right" w:pos="9072"/>
      </w:tabs>
    </w:pPr>
  </w:style>
  <w:style w:type="character" w:styleId="Seitenzahl">
    <w:name w:val="page number"/>
    <w:basedOn w:val="Absatz-Standardschriftart"/>
    <w:semiHidden/>
    <w:rsid w:val="00925429"/>
    <w:rPr>
      <w:rFonts w:ascii="Arial" w:hAnsi="Arial"/>
      <w:dstrike w:val="0"/>
      <w:color w:val="000000"/>
      <w:sz w:val="22"/>
      <w:u w:val="none"/>
      <w:vertAlign w:val="baseline"/>
    </w:rPr>
  </w:style>
  <w:style w:type="paragraph" w:styleId="Dokumentstruktur">
    <w:name w:val="Document Map"/>
    <w:basedOn w:val="Standard"/>
    <w:semiHidden/>
    <w:rsid w:val="00925429"/>
    <w:pPr>
      <w:shd w:val="clear" w:color="auto" w:fill="000080"/>
    </w:pPr>
    <w:rPr>
      <w:rFonts w:ascii="Tahoma" w:hAnsi="Tahoma" w:cs="Tahoma"/>
    </w:rPr>
  </w:style>
  <w:style w:type="numbering" w:customStyle="1" w:styleId="ListemitAufzhlungszeichenDoka">
    <w:name w:val="Liste mit Aufzählungszeichen Doka"/>
    <w:basedOn w:val="KeineListe"/>
    <w:rsid w:val="00C846DE"/>
  </w:style>
  <w:style w:type="character" w:styleId="Kommentarzeichen">
    <w:name w:val="annotation reference"/>
    <w:basedOn w:val="Absatz-Standardschriftart"/>
    <w:uiPriority w:val="99"/>
    <w:semiHidden/>
    <w:unhideWhenUsed/>
    <w:rsid w:val="00016591"/>
    <w:rPr>
      <w:sz w:val="16"/>
      <w:szCs w:val="16"/>
    </w:rPr>
  </w:style>
  <w:style w:type="paragraph" w:styleId="Kommentartext">
    <w:name w:val="annotation text"/>
    <w:basedOn w:val="Standard"/>
    <w:link w:val="KommentartextZchn"/>
    <w:uiPriority w:val="99"/>
    <w:semiHidden/>
    <w:unhideWhenUsed/>
    <w:rsid w:val="00016591"/>
    <w:rPr>
      <w:sz w:val="20"/>
      <w:szCs w:val="20"/>
    </w:rPr>
  </w:style>
  <w:style w:type="character" w:customStyle="1" w:styleId="KommentartextZchn">
    <w:name w:val="Kommentartext Zchn"/>
    <w:basedOn w:val="Absatz-Standardschriftart"/>
    <w:link w:val="Kommentartext"/>
    <w:uiPriority w:val="99"/>
    <w:semiHidden/>
    <w:rsid w:val="00016591"/>
    <w:rPr>
      <w:rFonts w:ascii="Arial" w:hAnsi="Arial"/>
      <w:color w:val="000000"/>
      <w:lang w:val="fi-FI"/>
    </w:rPr>
  </w:style>
  <w:style w:type="paragraph" w:styleId="Kommentarthema">
    <w:name w:val="annotation subject"/>
    <w:basedOn w:val="Kommentartext"/>
    <w:next w:val="Kommentartext"/>
    <w:link w:val="KommentarthemaZchn"/>
    <w:uiPriority w:val="99"/>
    <w:semiHidden/>
    <w:unhideWhenUsed/>
    <w:rsid w:val="00016591"/>
    <w:rPr>
      <w:b/>
      <w:bCs/>
    </w:rPr>
  </w:style>
  <w:style w:type="character" w:customStyle="1" w:styleId="KommentarthemaZchn">
    <w:name w:val="Kommentarthema Zchn"/>
    <w:basedOn w:val="KommentartextZchn"/>
    <w:link w:val="Kommentarthema"/>
    <w:uiPriority w:val="99"/>
    <w:semiHidden/>
    <w:rsid w:val="00016591"/>
    <w:rPr>
      <w:rFonts w:ascii="Arial" w:hAnsi="Arial"/>
      <w:b/>
      <w:bCs/>
      <w:color w:val="000000"/>
      <w:lang w:val="fi-FI"/>
    </w:rPr>
  </w:style>
  <w:style w:type="paragraph" w:styleId="berarbeitung">
    <w:name w:val="Revision"/>
    <w:hidden/>
    <w:uiPriority w:val="99"/>
    <w:semiHidden/>
    <w:rsid w:val="00016591"/>
    <w:rPr>
      <w:rFonts w:ascii="Arial" w:hAnsi="Arial"/>
      <w:color w:val="000000"/>
      <w:sz w:val="22"/>
      <w:szCs w:val="24"/>
    </w:rPr>
  </w:style>
  <w:style w:type="paragraph" w:styleId="Sprechblasentext">
    <w:name w:val="Balloon Text"/>
    <w:basedOn w:val="Standard"/>
    <w:link w:val="SprechblasentextZchn"/>
    <w:uiPriority w:val="99"/>
    <w:semiHidden/>
    <w:unhideWhenUsed/>
    <w:rsid w:val="00016591"/>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016591"/>
    <w:rPr>
      <w:rFonts w:ascii="Tahoma" w:hAnsi="Tahoma" w:cs="Tahoma"/>
      <w:color w:val="000000"/>
      <w:sz w:val="16"/>
      <w:szCs w:val="16"/>
      <w:lang w:val="fi-FI"/>
    </w:rPr>
  </w:style>
  <w:style w:type="character" w:styleId="Hyperlink">
    <w:name w:val="Hyperlink"/>
    <w:basedOn w:val="Absatz-Standardschriftart"/>
    <w:uiPriority w:val="99"/>
    <w:unhideWhenUsed/>
    <w:rsid w:val="00016591"/>
    <w:rPr>
      <w:rFonts w:ascii="Arial" w:hAnsi="Arial" w:cs="Arial" w:hint="default"/>
      <w:color w:val="666666"/>
      <w:sz w:val="18"/>
      <w:szCs w:val="18"/>
      <w:u w:val="single"/>
    </w:rPr>
  </w:style>
  <w:style w:type="table" w:styleId="Tabellenraster">
    <w:name w:val="Table Grid"/>
    <w:basedOn w:val="NormaleTabelle"/>
    <w:uiPriority w:val="59"/>
    <w:rsid w:val="007E2B1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apple-converted-space">
    <w:name w:val="apple-converted-space"/>
    <w:basedOn w:val="Absatz-Standardschriftart"/>
    <w:rsid w:val="00836470"/>
  </w:style>
  <w:style w:type="character" w:customStyle="1" w:styleId="FuzeileZchn">
    <w:name w:val="Fußzeile Zchn"/>
    <w:basedOn w:val="Absatz-Standardschriftart"/>
    <w:link w:val="Fuzeile"/>
    <w:uiPriority w:val="99"/>
    <w:rsid w:val="00CC4F29"/>
    <w:rPr>
      <w:rFonts w:ascii="Arial" w:hAnsi="Arial"/>
      <w:color w:val="000000"/>
      <w:sz w:val="22"/>
      <w:szCs w:val="24"/>
      <w:lang w:eastAsia="fi-FI"/>
    </w:rPr>
  </w:style>
  <w:style w:type="character" w:styleId="Fett">
    <w:name w:val="Strong"/>
    <w:basedOn w:val="Absatz-Standardschriftart"/>
    <w:uiPriority w:val="22"/>
    <w:qFormat/>
    <w:rsid w:val="004A2637"/>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85294185">
      <w:bodyDiv w:val="1"/>
      <w:marLeft w:val="0"/>
      <w:marRight w:val="0"/>
      <w:marTop w:val="0"/>
      <w:marBottom w:val="0"/>
      <w:divBdr>
        <w:top w:val="none" w:sz="0" w:space="0" w:color="auto"/>
        <w:left w:val="none" w:sz="0" w:space="0" w:color="auto"/>
        <w:bottom w:val="none" w:sz="0" w:space="0" w:color="auto"/>
        <w:right w:val="none" w:sz="0" w:space="0" w:color="auto"/>
      </w:divBdr>
      <w:divsChild>
        <w:div w:id="1626541471">
          <w:marLeft w:val="0"/>
          <w:marRight w:val="0"/>
          <w:marTop w:val="0"/>
          <w:marBottom w:val="0"/>
          <w:divBdr>
            <w:top w:val="none" w:sz="0" w:space="0" w:color="auto"/>
            <w:left w:val="none" w:sz="0" w:space="0" w:color="auto"/>
            <w:bottom w:val="none" w:sz="0" w:space="0" w:color="auto"/>
            <w:right w:val="none" w:sz="0" w:space="0" w:color="auto"/>
          </w:divBdr>
        </w:div>
      </w:divsChild>
    </w:div>
    <w:div w:id="202445992">
      <w:bodyDiv w:val="1"/>
      <w:marLeft w:val="0"/>
      <w:marRight w:val="0"/>
      <w:marTop w:val="0"/>
      <w:marBottom w:val="0"/>
      <w:divBdr>
        <w:top w:val="none" w:sz="0" w:space="0" w:color="auto"/>
        <w:left w:val="none" w:sz="0" w:space="0" w:color="auto"/>
        <w:bottom w:val="none" w:sz="0" w:space="0" w:color="auto"/>
        <w:right w:val="none" w:sz="0" w:space="0" w:color="auto"/>
      </w:divBdr>
      <w:divsChild>
        <w:div w:id="2002543226">
          <w:marLeft w:val="0"/>
          <w:marRight w:val="0"/>
          <w:marTop w:val="0"/>
          <w:marBottom w:val="0"/>
          <w:divBdr>
            <w:top w:val="none" w:sz="0" w:space="0" w:color="auto"/>
            <w:left w:val="none" w:sz="0" w:space="0" w:color="auto"/>
            <w:bottom w:val="none" w:sz="0" w:space="0" w:color="auto"/>
            <w:right w:val="none" w:sz="0" w:space="0" w:color="auto"/>
          </w:divBdr>
        </w:div>
      </w:divsChild>
    </w:div>
    <w:div w:id="360060124">
      <w:bodyDiv w:val="1"/>
      <w:marLeft w:val="0"/>
      <w:marRight w:val="0"/>
      <w:marTop w:val="0"/>
      <w:marBottom w:val="0"/>
      <w:divBdr>
        <w:top w:val="none" w:sz="0" w:space="0" w:color="auto"/>
        <w:left w:val="none" w:sz="0" w:space="0" w:color="auto"/>
        <w:bottom w:val="none" w:sz="0" w:space="0" w:color="auto"/>
        <w:right w:val="none" w:sz="0" w:space="0" w:color="auto"/>
      </w:divBdr>
      <w:divsChild>
        <w:div w:id="1424765222">
          <w:marLeft w:val="0"/>
          <w:marRight w:val="0"/>
          <w:marTop w:val="0"/>
          <w:marBottom w:val="0"/>
          <w:divBdr>
            <w:top w:val="none" w:sz="0" w:space="0" w:color="auto"/>
            <w:left w:val="none" w:sz="0" w:space="0" w:color="auto"/>
            <w:bottom w:val="none" w:sz="0" w:space="0" w:color="auto"/>
            <w:right w:val="none" w:sz="0" w:space="0" w:color="auto"/>
          </w:divBdr>
          <w:divsChild>
            <w:div w:id="2029289083">
              <w:marLeft w:val="0"/>
              <w:marRight w:val="0"/>
              <w:marTop w:val="0"/>
              <w:marBottom w:val="0"/>
              <w:divBdr>
                <w:top w:val="none" w:sz="0" w:space="0" w:color="auto"/>
                <w:left w:val="none" w:sz="0" w:space="0" w:color="auto"/>
                <w:bottom w:val="none" w:sz="0" w:space="0" w:color="auto"/>
                <w:right w:val="none" w:sz="0" w:space="0" w:color="auto"/>
              </w:divBdr>
              <w:divsChild>
                <w:div w:id="1970012607">
                  <w:marLeft w:val="0"/>
                  <w:marRight w:val="0"/>
                  <w:marTop w:val="0"/>
                  <w:marBottom w:val="0"/>
                  <w:divBdr>
                    <w:top w:val="none" w:sz="0" w:space="0" w:color="auto"/>
                    <w:left w:val="none" w:sz="0" w:space="0" w:color="auto"/>
                    <w:bottom w:val="none" w:sz="0" w:space="0" w:color="auto"/>
                    <w:right w:val="none" w:sz="0" w:space="0" w:color="auto"/>
                  </w:divBdr>
                  <w:divsChild>
                    <w:div w:id="1670061705">
                      <w:marLeft w:val="0"/>
                      <w:marRight w:val="0"/>
                      <w:marTop w:val="0"/>
                      <w:marBottom w:val="0"/>
                      <w:divBdr>
                        <w:top w:val="none" w:sz="0" w:space="0" w:color="auto"/>
                        <w:left w:val="none" w:sz="0" w:space="0" w:color="auto"/>
                        <w:bottom w:val="none" w:sz="0" w:space="0" w:color="auto"/>
                        <w:right w:val="none" w:sz="0" w:space="0" w:color="auto"/>
                      </w:divBdr>
                      <w:divsChild>
                        <w:div w:id="498081640">
                          <w:marLeft w:val="0"/>
                          <w:marRight w:val="0"/>
                          <w:marTop w:val="0"/>
                          <w:marBottom w:val="0"/>
                          <w:divBdr>
                            <w:top w:val="none" w:sz="0" w:space="0" w:color="auto"/>
                            <w:left w:val="none" w:sz="0" w:space="0" w:color="auto"/>
                            <w:bottom w:val="none" w:sz="0" w:space="0" w:color="auto"/>
                            <w:right w:val="none" w:sz="0" w:space="0" w:color="auto"/>
                          </w:divBdr>
                          <w:divsChild>
                            <w:div w:id="1418403279">
                              <w:marLeft w:val="-300"/>
                              <w:marRight w:val="0"/>
                              <w:marTop w:val="0"/>
                              <w:marBottom w:val="0"/>
                              <w:divBdr>
                                <w:top w:val="none" w:sz="0" w:space="0" w:color="auto"/>
                                <w:left w:val="none" w:sz="0" w:space="0" w:color="auto"/>
                                <w:bottom w:val="none" w:sz="0" w:space="0" w:color="auto"/>
                                <w:right w:val="none" w:sz="0" w:space="0" w:color="auto"/>
                              </w:divBdr>
                              <w:divsChild>
                                <w:div w:id="320235349">
                                  <w:marLeft w:val="0"/>
                                  <w:marRight w:val="0"/>
                                  <w:marTop w:val="0"/>
                                  <w:marBottom w:val="0"/>
                                  <w:divBdr>
                                    <w:top w:val="none" w:sz="0" w:space="0" w:color="auto"/>
                                    <w:left w:val="none" w:sz="0" w:space="0" w:color="auto"/>
                                    <w:bottom w:val="none" w:sz="0" w:space="0" w:color="auto"/>
                                    <w:right w:val="none" w:sz="0" w:space="0" w:color="auto"/>
                                  </w:divBdr>
                                  <w:divsChild>
                                    <w:div w:id="669985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389816586">
      <w:bodyDiv w:val="1"/>
      <w:marLeft w:val="0"/>
      <w:marRight w:val="0"/>
      <w:marTop w:val="0"/>
      <w:marBottom w:val="0"/>
      <w:divBdr>
        <w:top w:val="none" w:sz="0" w:space="0" w:color="auto"/>
        <w:left w:val="none" w:sz="0" w:space="0" w:color="auto"/>
        <w:bottom w:val="none" w:sz="0" w:space="0" w:color="auto"/>
        <w:right w:val="none" w:sz="0" w:space="0" w:color="auto"/>
      </w:divBdr>
    </w:div>
    <w:div w:id="462310917">
      <w:bodyDiv w:val="1"/>
      <w:marLeft w:val="0"/>
      <w:marRight w:val="0"/>
      <w:marTop w:val="0"/>
      <w:marBottom w:val="0"/>
      <w:divBdr>
        <w:top w:val="none" w:sz="0" w:space="0" w:color="auto"/>
        <w:left w:val="none" w:sz="0" w:space="0" w:color="auto"/>
        <w:bottom w:val="none" w:sz="0" w:space="0" w:color="auto"/>
        <w:right w:val="none" w:sz="0" w:space="0" w:color="auto"/>
      </w:divBdr>
    </w:div>
    <w:div w:id="606624419">
      <w:bodyDiv w:val="1"/>
      <w:marLeft w:val="0"/>
      <w:marRight w:val="0"/>
      <w:marTop w:val="0"/>
      <w:marBottom w:val="0"/>
      <w:divBdr>
        <w:top w:val="none" w:sz="0" w:space="0" w:color="auto"/>
        <w:left w:val="none" w:sz="0" w:space="0" w:color="auto"/>
        <w:bottom w:val="none" w:sz="0" w:space="0" w:color="auto"/>
        <w:right w:val="none" w:sz="0" w:space="0" w:color="auto"/>
      </w:divBdr>
      <w:divsChild>
        <w:div w:id="1368993646">
          <w:marLeft w:val="0"/>
          <w:marRight w:val="0"/>
          <w:marTop w:val="0"/>
          <w:marBottom w:val="0"/>
          <w:divBdr>
            <w:top w:val="none" w:sz="0" w:space="0" w:color="auto"/>
            <w:left w:val="none" w:sz="0" w:space="0" w:color="auto"/>
            <w:bottom w:val="none" w:sz="0" w:space="0" w:color="auto"/>
            <w:right w:val="none" w:sz="0" w:space="0" w:color="auto"/>
          </w:divBdr>
          <w:divsChild>
            <w:div w:id="1887373028">
              <w:marLeft w:val="0"/>
              <w:marRight w:val="0"/>
              <w:marTop w:val="0"/>
              <w:marBottom w:val="0"/>
              <w:divBdr>
                <w:top w:val="none" w:sz="0" w:space="0" w:color="auto"/>
                <w:left w:val="none" w:sz="0" w:space="0" w:color="auto"/>
                <w:bottom w:val="none" w:sz="0" w:space="0" w:color="auto"/>
                <w:right w:val="none" w:sz="0" w:space="0" w:color="auto"/>
              </w:divBdr>
              <w:divsChild>
                <w:div w:id="1177692529">
                  <w:marLeft w:val="0"/>
                  <w:marRight w:val="0"/>
                  <w:marTop w:val="0"/>
                  <w:marBottom w:val="0"/>
                  <w:divBdr>
                    <w:top w:val="none" w:sz="0" w:space="0" w:color="auto"/>
                    <w:left w:val="none" w:sz="0" w:space="0" w:color="auto"/>
                    <w:bottom w:val="none" w:sz="0" w:space="0" w:color="auto"/>
                    <w:right w:val="none" w:sz="0" w:space="0" w:color="auto"/>
                  </w:divBdr>
                  <w:divsChild>
                    <w:div w:id="789133">
                      <w:marLeft w:val="0"/>
                      <w:marRight w:val="0"/>
                      <w:marTop w:val="0"/>
                      <w:marBottom w:val="0"/>
                      <w:divBdr>
                        <w:top w:val="none" w:sz="0" w:space="0" w:color="auto"/>
                        <w:left w:val="none" w:sz="0" w:space="0" w:color="auto"/>
                        <w:bottom w:val="none" w:sz="0" w:space="0" w:color="auto"/>
                        <w:right w:val="none" w:sz="0" w:space="0" w:color="auto"/>
                      </w:divBdr>
                      <w:divsChild>
                        <w:div w:id="705637369">
                          <w:marLeft w:val="-250"/>
                          <w:marRight w:val="0"/>
                          <w:marTop w:val="0"/>
                          <w:marBottom w:val="0"/>
                          <w:divBdr>
                            <w:top w:val="none" w:sz="0" w:space="0" w:color="auto"/>
                            <w:left w:val="none" w:sz="0" w:space="0" w:color="auto"/>
                            <w:bottom w:val="none" w:sz="0" w:space="0" w:color="auto"/>
                            <w:right w:val="none" w:sz="0" w:space="0" w:color="auto"/>
                          </w:divBdr>
                          <w:divsChild>
                            <w:div w:id="325208220">
                              <w:marLeft w:val="0"/>
                              <w:marRight w:val="0"/>
                              <w:marTop w:val="0"/>
                              <w:marBottom w:val="0"/>
                              <w:divBdr>
                                <w:top w:val="none" w:sz="0" w:space="0" w:color="auto"/>
                                <w:left w:val="none" w:sz="0" w:space="0" w:color="auto"/>
                                <w:bottom w:val="none" w:sz="0" w:space="0" w:color="auto"/>
                                <w:right w:val="none" w:sz="0" w:space="0" w:color="auto"/>
                              </w:divBdr>
                              <w:divsChild>
                                <w:div w:id="1009988892">
                                  <w:marLeft w:val="0"/>
                                  <w:marRight w:val="0"/>
                                  <w:marTop w:val="0"/>
                                  <w:marBottom w:val="0"/>
                                  <w:divBdr>
                                    <w:top w:val="none" w:sz="0" w:space="0" w:color="auto"/>
                                    <w:left w:val="none" w:sz="0" w:space="0" w:color="auto"/>
                                    <w:bottom w:val="none" w:sz="0" w:space="0" w:color="auto"/>
                                    <w:right w:val="none" w:sz="0" w:space="0" w:color="auto"/>
                                  </w:divBdr>
                                  <w:divsChild>
                                    <w:div w:id="885475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622810994">
      <w:bodyDiv w:val="1"/>
      <w:marLeft w:val="0"/>
      <w:marRight w:val="0"/>
      <w:marTop w:val="0"/>
      <w:marBottom w:val="0"/>
      <w:divBdr>
        <w:top w:val="none" w:sz="0" w:space="0" w:color="auto"/>
        <w:left w:val="none" w:sz="0" w:space="0" w:color="auto"/>
        <w:bottom w:val="none" w:sz="0" w:space="0" w:color="auto"/>
        <w:right w:val="none" w:sz="0" w:space="0" w:color="auto"/>
      </w:divBdr>
    </w:div>
    <w:div w:id="876551758">
      <w:bodyDiv w:val="1"/>
      <w:marLeft w:val="0"/>
      <w:marRight w:val="0"/>
      <w:marTop w:val="0"/>
      <w:marBottom w:val="0"/>
      <w:divBdr>
        <w:top w:val="none" w:sz="0" w:space="0" w:color="auto"/>
        <w:left w:val="none" w:sz="0" w:space="0" w:color="auto"/>
        <w:bottom w:val="none" w:sz="0" w:space="0" w:color="auto"/>
        <w:right w:val="none" w:sz="0" w:space="0" w:color="auto"/>
      </w:divBdr>
    </w:div>
    <w:div w:id="1303193070">
      <w:bodyDiv w:val="1"/>
      <w:marLeft w:val="0"/>
      <w:marRight w:val="0"/>
      <w:marTop w:val="0"/>
      <w:marBottom w:val="0"/>
      <w:divBdr>
        <w:top w:val="none" w:sz="0" w:space="0" w:color="auto"/>
        <w:left w:val="none" w:sz="0" w:space="0" w:color="auto"/>
        <w:bottom w:val="none" w:sz="0" w:space="0" w:color="auto"/>
        <w:right w:val="none" w:sz="0" w:space="0" w:color="auto"/>
      </w:divBdr>
    </w:div>
    <w:div w:id="1651906724">
      <w:bodyDiv w:val="1"/>
      <w:marLeft w:val="0"/>
      <w:marRight w:val="0"/>
      <w:marTop w:val="0"/>
      <w:marBottom w:val="0"/>
      <w:divBdr>
        <w:top w:val="none" w:sz="0" w:space="0" w:color="auto"/>
        <w:left w:val="none" w:sz="0" w:space="0" w:color="auto"/>
        <w:bottom w:val="none" w:sz="0" w:space="0" w:color="auto"/>
        <w:right w:val="none" w:sz="0" w:space="0" w:color="auto"/>
      </w:divBdr>
    </w:div>
    <w:div w:id="1748183100">
      <w:bodyDiv w:val="1"/>
      <w:marLeft w:val="0"/>
      <w:marRight w:val="0"/>
      <w:marTop w:val="0"/>
      <w:marBottom w:val="0"/>
      <w:divBdr>
        <w:top w:val="none" w:sz="0" w:space="0" w:color="auto"/>
        <w:left w:val="none" w:sz="0" w:space="0" w:color="auto"/>
        <w:bottom w:val="none" w:sz="0" w:space="0" w:color="auto"/>
        <w:right w:val="none" w:sz="0" w:space="0" w:color="auto"/>
      </w:divBdr>
    </w:div>
    <w:div w:id="1865509074">
      <w:bodyDiv w:val="1"/>
      <w:marLeft w:val="0"/>
      <w:marRight w:val="0"/>
      <w:marTop w:val="0"/>
      <w:marBottom w:val="0"/>
      <w:divBdr>
        <w:top w:val="none" w:sz="0" w:space="0" w:color="auto"/>
        <w:left w:val="none" w:sz="0" w:space="0" w:color="auto"/>
        <w:bottom w:val="none" w:sz="0" w:space="0" w:color="auto"/>
        <w:right w:val="none" w:sz="0" w:space="0" w:color="auto"/>
      </w:divBdr>
    </w:div>
    <w:div w:id="202778079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1.jpeg"/><Relationship Id="rId18" Type="http://schemas.openxmlformats.org/officeDocument/2006/relationships/image" Target="media/image6.jpeg"/><Relationship Id="rId3" Type="http://schemas.openxmlformats.org/officeDocument/2006/relationships/customXml" Target="../customXml/item3.xml"/><Relationship Id="rId21" Type="http://schemas.openxmlformats.org/officeDocument/2006/relationships/footer" Target="footer1.xml"/><Relationship Id="rId7" Type="http://schemas.openxmlformats.org/officeDocument/2006/relationships/settings" Target="settings.xml"/><Relationship Id="rId12" Type="http://schemas.openxmlformats.org/officeDocument/2006/relationships/hyperlink" Target="http://www.doka.com/de/news/press/weltweite-projekte-bessere-infrastruktur" TargetMode="External"/><Relationship Id="rId17" Type="http://schemas.openxmlformats.org/officeDocument/2006/relationships/image" Target="media/image5.jpeg"/><Relationship Id="rId2" Type="http://schemas.openxmlformats.org/officeDocument/2006/relationships/customXml" Target="../customXml/item2.xml"/><Relationship Id="rId16" Type="http://schemas.openxmlformats.org/officeDocument/2006/relationships/image" Target="media/image4.jpeg"/><Relationship Id="rId20"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alexander.hoerschlaeger@doka.com" TargetMode="External"/><Relationship Id="rId5" Type="http://schemas.openxmlformats.org/officeDocument/2006/relationships/numbering" Target="numbering.xml"/><Relationship Id="rId15" Type="http://schemas.openxmlformats.org/officeDocument/2006/relationships/image" Target="media/image3.jpeg"/><Relationship Id="rId23" Type="http://schemas.openxmlformats.org/officeDocument/2006/relationships/theme" Target="theme/theme1.xml"/><Relationship Id="rId10" Type="http://schemas.openxmlformats.org/officeDocument/2006/relationships/endnotes" Target="endnotes.xml"/><Relationship Id="rId19" Type="http://schemas.openxmlformats.org/officeDocument/2006/relationships/image" Target="media/image7.jpe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2.jpeg"/><Relationship Id="rId22"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8.jpeg"/></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PublishingExpirationDate xmlns="http://schemas.microsoft.com/sharepoint/v3" xsi:nil="true"/>
    <PublishingStartDate xmlns="http://schemas.microsoft.com/sharepoint/v3" xsi:nil="true"/>
  </documentManagement>
</p:properties>
</file>

<file path=customXml/item2.xml><?xml version="1.0" encoding="utf-8"?>
<ct:contentTypeSchema xmlns:ct="http://schemas.microsoft.com/office/2006/metadata/contentType" xmlns:ma="http://schemas.microsoft.com/office/2006/metadata/properties/metaAttributes" ct:_="" ma:_="" ma:contentTypeName="Dokument" ma:contentTypeID="0x010100B11E08FED15F8644857D10B158C28AA0" ma:contentTypeVersion="1" ma:contentTypeDescription="Ein neues Dokument erstellen." ma:contentTypeScope="" ma:versionID="7beaa672db6b25f7de7f6dedd70accdc">
  <xsd:schema xmlns:xsd="http://www.w3.org/2001/XMLSchema" xmlns:xs="http://www.w3.org/2001/XMLSchema" xmlns:p="http://schemas.microsoft.com/office/2006/metadata/properties" xmlns:ns1="http://schemas.microsoft.com/sharepoint/v3" targetNamespace="http://schemas.microsoft.com/office/2006/metadata/properties" ma:root="true" ma:fieldsID="afcbafc75315d1e3db5c088da0474639" ns1:_="">
    <xsd:import namespace="http://schemas.microsoft.com/sharepoint/v3"/>
    <xsd:element name="properties">
      <xsd:complexType>
        <xsd:sequence>
          <xsd:element name="documentManagement">
            <xsd:complexType>
              <xsd:all>
                <xsd:element ref="ns1:PublishingStartDate" minOccurs="0"/>
                <xsd:element ref="ns1:PublishingExpirationDat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PublishingStartDate" ma:index="8" nillable="true" ma:displayName="Geplantes Startdatum" ma:description="Geplantes Startdatum ist eine Websitespalte, die über das Feature zum Veröffentlichen erstellt wird. Es wird zur Angabe des Datums und der Uhrzeit verwendet, wann diese Seite Besuchern zum ersten Mal angezeigt wird." ma:internalName="PublishingStartDate">
      <xsd:simpleType>
        <xsd:restriction base="dms:Unknown"/>
      </xsd:simpleType>
    </xsd:element>
    <xsd:element name="PublishingExpirationDate" ma:index="9" nillable="true" ma:displayName="Geplantes Enddatum" ma:description="Geplantes Enddatum ist eine Websitespalte, die über das Feature zum Veröffentlichen erstellt wird. Es wird zur Angabe des Datums und der Uhrzeit verwendet, wann diese Seite Besuchern nicht mehr angezeigt wird." ma:internalName="PublishingExpirationDate">
      <xsd:simpleType>
        <xsd:restriction base="dms:Unknow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13D28F38-82E2-43A0-8840-02EA42AB6504}">
  <ds:schemaRefs>
    <ds:schemaRef ds:uri="http://schemas.microsoft.com/office/2006/metadata/properties"/>
    <ds:schemaRef ds:uri="http://schemas.microsoft.com/office/infopath/2007/PartnerControls"/>
    <ds:schemaRef ds:uri="http://schemas.microsoft.com/sharepoint/v3"/>
  </ds:schemaRefs>
</ds:datastoreItem>
</file>

<file path=customXml/itemProps2.xml><?xml version="1.0" encoding="utf-8"?>
<ds:datastoreItem xmlns:ds="http://schemas.openxmlformats.org/officeDocument/2006/customXml" ds:itemID="{6E47770A-9F27-4B31-9BEA-9E14FDD0F2ED}">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microsoft.com/sharepoint/v3"/>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F2A03E5E-FAE0-4A07-BF5D-B49817FD9F85}">
  <ds:schemaRefs>
    <ds:schemaRef ds:uri="http://schemas.microsoft.com/sharepoint/v3/contenttype/forms"/>
  </ds:schemaRefs>
</ds:datastoreItem>
</file>

<file path=customXml/itemProps4.xml><?xml version="1.0" encoding="utf-8"?>
<ds:datastoreItem xmlns:ds="http://schemas.openxmlformats.org/officeDocument/2006/customXml" ds:itemID="{2D38DFBF-DDDB-47D1-91F4-CF16D5A5847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Pages>
  <Words>1651</Words>
  <Characters>10403</Characters>
  <Application>Microsoft Office Word</Application>
  <DocSecurity>0</DocSecurity>
  <Lines>86</Lines>
  <Paragraphs>24</Paragraphs>
  <ScaleCrop>false</ScaleCrop>
  <HeadingPairs>
    <vt:vector size="2" baseType="variant">
      <vt:variant>
        <vt:lpstr>Titel</vt:lpstr>
      </vt:variant>
      <vt:variant>
        <vt:i4>1</vt:i4>
      </vt:variant>
    </vt:vector>
  </HeadingPairs>
  <TitlesOfParts>
    <vt:vector size="1" baseType="lpstr">
      <vt:lpstr/>
    </vt:vector>
  </TitlesOfParts>
  <Company>Umdasch Group</Company>
  <LinksUpToDate>false</LinksUpToDate>
  <CharactersWithSpaces>12030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Lang Sandra</dc:creator>
  <cp:lastModifiedBy>Wimmer Florian</cp:lastModifiedBy>
  <cp:revision>53</cp:revision>
  <cp:lastPrinted>2017-02-22T16:00:00Z</cp:lastPrinted>
  <dcterms:created xsi:type="dcterms:W3CDTF">2017-01-25T13:53:00Z</dcterms:created>
  <dcterms:modified xsi:type="dcterms:W3CDTF">2017-03-06T08:32:00Z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0x010100B11E08FED15F8644857D10B158C28AA0</vt:lpwstr>
  </property>
</Properties>
</file>